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76" w:rsidRDefault="00851576" w:rsidP="00851576">
      <w:pPr>
        <w:pStyle w:val="af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F4BA2">
        <w:rPr>
          <w:sz w:val="28"/>
          <w:szCs w:val="28"/>
        </w:rPr>
        <w:t xml:space="preserve">                      УТВЕРЖДЕН</w:t>
      </w:r>
    </w:p>
    <w:p w:rsidR="00851576" w:rsidRDefault="00851576" w:rsidP="00851576">
      <w:pPr>
        <w:pStyle w:val="af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EF4BA2">
        <w:rPr>
          <w:sz w:val="28"/>
          <w:szCs w:val="28"/>
        </w:rPr>
        <w:t xml:space="preserve">   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851576" w:rsidRDefault="00851576" w:rsidP="00851576">
      <w:pPr>
        <w:pStyle w:val="af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851576" w:rsidRDefault="00851576" w:rsidP="00851576">
      <w:pPr>
        <w:pStyle w:val="af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663338" w:rsidRDefault="00663338" w:rsidP="00663338">
      <w:pPr>
        <w:pStyle w:val="af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DF41EC" w:rsidRDefault="00DF41EC" w:rsidP="0056635F">
      <w:pPr>
        <w:spacing w:before="60" w:after="60" w:line="200" w:lineRule="exac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663338" w:rsidRDefault="00663338" w:rsidP="0056635F">
      <w:pPr>
        <w:spacing w:before="60" w:after="60" w:line="200" w:lineRule="exac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D6655B" w:rsidRDefault="00D6655B" w:rsidP="00D6655B">
      <w:pPr>
        <w:spacing w:before="60" w:after="60" w:line="200" w:lineRule="exact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D6655B" w:rsidRPr="00851576" w:rsidRDefault="00D6655B" w:rsidP="00D6655B">
      <w:pPr>
        <w:spacing w:after="0" w:line="24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FB04F0" w:rsidRPr="00851576" w:rsidRDefault="00D6655B" w:rsidP="00D6655B">
      <w:pPr>
        <w:spacing w:after="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5157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ПЕРЕЧЕНЬ</w:t>
      </w:r>
    </w:p>
    <w:p w:rsidR="00A30D33" w:rsidRPr="00851576" w:rsidRDefault="00D6655B" w:rsidP="00851576">
      <w:pPr>
        <w:spacing w:before="120"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1576">
        <w:rPr>
          <w:rFonts w:ascii="Times New Roman" w:hAnsi="Times New Roman" w:cs="Times New Roman"/>
          <w:bCs/>
          <w:iCs/>
          <w:sz w:val="28"/>
          <w:szCs w:val="28"/>
        </w:rPr>
        <w:t>критериев и показателей</w:t>
      </w:r>
      <w:r w:rsidR="00C95C7B" w:rsidRPr="0085157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223D" w:rsidRPr="00851576">
        <w:rPr>
          <w:rFonts w:ascii="Times New Roman" w:hAnsi="Times New Roman" w:cs="Times New Roman"/>
          <w:sz w:val="28"/>
          <w:szCs w:val="28"/>
        </w:rPr>
        <w:t>оценки профессиональной деятельности педагогического работника</w:t>
      </w:r>
      <w:r w:rsidR="00C95C7B" w:rsidRPr="00851576">
        <w:rPr>
          <w:rFonts w:ascii="Times New Roman" w:hAnsi="Times New Roman" w:cs="Times New Roman"/>
          <w:sz w:val="28"/>
          <w:szCs w:val="28"/>
        </w:rPr>
        <w:t xml:space="preserve"> </w:t>
      </w:r>
      <w:r w:rsidR="008A223D" w:rsidRPr="00851576">
        <w:rPr>
          <w:rFonts w:ascii="Times New Roman" w:hAnsi="Times New Roman" w:cs="Times New Roman"/>
          <w:sz w:val="28"/>
          <w:szCs w:val="28"/>
        </w:rPr>
        <w:t>для установления соо</w:t>
      </w:r>
      <w:r w:rsidR="008A223D" w:rsidRPr="00851576">
        <w:rPr>
          <w:rFonts w:ascii="Times New Roman" w:hAnsi="Times New Roman" w:cs="Times New Roman"/>
          <w:sz w:val="28"/>
          <w:szCs w:val="28"/>
        </w:rPr>
        <w:t>т</w:t>
      </w:r>
      <w:r w:rsidR="008A223D" w:rsidRPr="00851576">
        <w:rPr>
          <w:rFonts w:ascii="Times New Roman" w:hAnsi="Times New Roman" w:cs="Times New Roman"/>
          <w:sz w:val="28"/>
          <w:szCs w:val="28"/>
        </w:rPr>
        <w:t>ветствия квалификационной категории (первой или высшей)</w:t>
      </w:r>
      <w:r w:rsidR="00C95C7B" w:rsidRPr="00851576">
        <w:rPr>
          <w:rFonts w:ascii="Times New Roman" w:hAnsi="Times New Roman" w:cs="Times New Roman"/>
          <w:sz w:val="28"/>
          <w:szCs w:val="28"/>
        </w:rPr>
        <w:t xml:space="preserve"> </w:t>
      </w:r>
      <w:r w:rsidR="008A223D" w:rsidRPr="00851576">
        <w:rPr>
          <w:rFonts w:ascii="Times New Roman" w:hAnsi="Times New Roman" w:cs="Times New Roman"/>
          <w:sz w:val="28"/>
          <w:szCs w:val="28"/>
        </w:rPr>
        <w:t xml:space="preserve">по должности </w:t>
      </w:r>
      <w:r w:rsidR="00DA0AC0" w:rsidRPr="00851576">
        <w:rPr>
          <w:rFonts w:ascii="Times New Roman" w:hAnsi="Times New Roman" w:cs="Times New Roman"/>
          <w:sz w:val="28"/>
          <w:szCs w:val="28"/>
        </w:rPr>
        <w:t>"</w:t>
      </w:r>
      <w:r w:rsidR="00A30D33" w:rsidRPr="00851576">
        <w:rPr>
          <w:rFonts w:ascii="Times New Roman" w:hAnsi="Times New Roman" w:cs="Times New Roman"/>
          <w:sz w:val="28"/>
          <w:szCs w:val="28"/>
        </w:rPr>
        <w:t>тренер-преподаватель (включая старш</w:t>
      </w:r>
      <w:r w:rsidR="00A30D33" w:rsidRPr="00851576">
        <w:rPr>
          <w:rFonts w:ascii="Times New Roman" w:hAnsi="Times New Roman" w:cs="Times New Roman"/>
          <w:sz w:val="28"/>
          <w:szCs w:val="28"/>
        </w:rPr>
        <w:t>е</w:t>
      </w:r>
      <w:r w:rsidR="00A30D33" w:rsidRPr="00851576">
        <w:rPr>
          <w:rFonts w:ascii="Times New Roman" w:hAnsi="Times New Roman" w:cs="Times New Roman"/>
          <w:sz w:val="28"/>
          <w:szCs w:val="28"/>
        </w:rPr>
        <w:t>го)</w:t>
      </w:r>
      <w:r w:rsidR="00DA0AC0" w:rsidRPr="00851576">
        <w:rPr>
          <w:rFonts w:ascii="Times New Roman" w:hAnsi="Times New Roman" w:cs="Times New Roman"/>
          <w:sz w:val="28"/>
          <w:szCs w:val="28"/>
        </w:rPr>
        <w:t>"</w:t>
      </w:r>
    </w:p>
    <w:p w:rsidR="00851576" w:rsidRDefault="00851576" w:rsidP="0085157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F34" w:rsidRDefault="00041F34" w:rsidP="0085157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4"/>
        <w:gridCol w:w="2041"/>
      </w:tblGrid>
      <w:tr w:rsidR="00C6214C" w:rsidRPr="00C55DED" w:rsidTr="00041F34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214C" w:rsidRPr="00C55DED" w:rsidRDefault="00C6214C" w:rsidP="00C6214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214C" w:rsidRPr="00C55DED" w:rsidRDefault="00C6214C" w:rsidP="00C6214C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214C" w:rsidRPr="00C55DED" w:rsidRDefault="00C6214C" w:rsidP="00E3202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6214C" w:rsidRPr="00C55DED" w:rsidRDefault="00C6214C" w:rsidP="00E32024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C55DED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041F34" w:rsidRPr="00C55DED" w:rsidTr="00041F34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1F34" w:rsidRPr="00C55DED" w:rsidRDefault="00041F34" w:rsidP="00C6214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1F34" w:rsidRPr="00C55DED" w:rsidRDefault="00041F34" w:rsidP="00C6214C">
            <w:pPr>
              <w:widowControl w:val="0"/>
              <w:spacing w:before="60" w:after="60" w:line="200" w:lineRule="exact"/>
              <w:ind w:firstLine="7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1F34" w:rsidRPr="00C55DED" w:rsidRDefault="00041F34" w:rsidP="00E32024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041F34" w:rsidRPr="00C55DED" w:rsidRDefault="00041F34" w:rsidP="00E32024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41F34" w:rsidRPr="00C55DED" w:rsidTr="00EF4F2E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Критерий 1 "Результаты освоения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по итогам мониторингов, проводимых организ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цией"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–36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"Динамика результатов освоения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45CBD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Доля обучающихся (в %), достигших прогнозируемых результатов реализации образовательной программы </w:t>
            </w:r>
            <w:r w:rsidRPr="00041F34">
              <w:rPr>
                <w:rStyle w:val="FontStyle16"/>
                <w:sz w:val="24"/>
                <w:szCs w:val="24"/>
              </w:rPr>
              <w:t>(по всем группам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745CBD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spacing w:before="6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показатель не раскрыт или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менее 85 %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5CBD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spacing w:before="6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85 %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745CBD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pStyle w:val="2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не менее 95 %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45CBD" w:rsidRPr="00041F34" w:rsidRDefault="00745CBD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2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Динамика доли обучающихся (в %), достигших прогнозируемых результатов реализации обр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зовательной программы </w:t>
            </w:r>
            <w:r w:rsidRPr="00041F34">
              <w:rPr>
                <w:rStyle w:val="FontStyle16"/>
                <w:sz w:val="24"/>
                <w:szCs w:val="24"/>
              </w:rPr>
              <w:t>(по всем группам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 или отрицательная динамика доли обучающихся, достигших прогноз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руемых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доли обучающихся (менее 85 %), достигших прогнозируемых 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зультатов, или стабильность доли обучающихся (не менее 85 %), достигших  прогнозируемых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доли обучающихся (не менее 85 %), достигших  прогнозируемых 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стабильность или положительная динамика доли обучающихся (не менее 95 %), достигших  прогнозируемых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Доля обучающихся (в %), выполняющих нормативы массовых спортивных разрядов: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менее 75 %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75 %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95 %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Динамика доли обучающихся (в %), выполняющих нормативы массовых спортивных разрядов: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 или отрицательная динамика доли обучающихся выполняющих норм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тивы массовых спортивных разрядов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доли обучающихся (менее 75 %), выполняющих нормативы масс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вых спортивных разрядов, или стабильность доли обучающихся (не менее 75 %), выполняющих нормативы массовых спортивных разрядов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положительная динамика доли обучающихся (не менее 75 %), выполняющих нормативы ма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совых спортивных разрядов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стабильность или положительная динамика доли обучающихся (не менее  95 %), выполня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щих нормативы массовых спортивных разрядов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(в %), с которыми работал педагогический работник, з</w:t>
            </w: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ачисленных в учил</w:t>
            </w: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ща олимпийского резерва и школы высшего спортивного мастерства: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1 %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2 %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"Результаты деятельности педагогического работника в области социализации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25167" w:rsidRPr="00041F34" w:rsidRDefault="00925167" w:rsidP="00041F34">
            <w:pPr>
              <w:widowControl w:val="0"/>
              <w:tabs>
                <w:tab w:val="left" w:pos="0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34"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</w:rPr>
              <w:t xml:space="preserve"> регулярно участвуют в социально-значимых делах, социально-образовательных проектах: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D61ACB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10434E" w:rsidRPr="00041F3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="0010434E" w:rsidRPr="00041F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0434E" w:rsidRPr="00041F34">
              <w:rPr>
                <w:rFonts w:ascii="Times New Roman" w:hAnsi="Times New Roman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15 %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D61ACB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="0010434E" w:rsidRPr="00041F3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="0010434E" w:rsidRPr="00041F3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10434E" w:rsidRPr="00041F34">
              <w:rPr>
                <w:rFonts w:ascii="Times New Roman" w:hAnsi="Times New Roman"/>
                <w:sz w:val="24"/>
                <w:szCs w:val="24"/>
              </w:rPr>
              <w:t xml:space="preserve"> (в %), вовлеченных в социально-значимые дела, социально-образовательные проекты, не менее 25 %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pStyle w:val="a3"/>
              <w:widowControl w:val="0"/>
              <w:spacing w:before="60" w:after="0"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меют положительные отзывы, благодарственные письма о проведенных мероприятиях на уровне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м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ниципальном уровне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"Наличие устойчивого интереса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к выбранному направлению деятел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ности"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 обучающихс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F34">
              <w:rPr>
                <w:rStyle w:val="FontStyle16"/>
                <w:sz w:val="24"/>
                <w:szCs w:val="24"/>
              </w:rPr>
              <w:t>(</w:t>
            </w:r>
            <w:proofErr w:type="gramEnd"/>
            <w:r w:rsidRPr="00041F34">
              <w:rPr>
                <w:rStyle w:val="FontStyle16"/>
                <w:sz w:val="24"/>
                <w:szCs w:val="24"/>
              </w:rPr>
              <w:t>по всем группам/объединениям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сохранность контингента стабильная на протяжении всех лет обучения по программе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наличие сохранности контингента обучающихся (сохранение количества одних и тех же об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чающихся на начало и конец года)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(в %), прошедших полный курс обучения по программе дополнительного образования </w:t>
            </w:r>
            <w:r w:rsidRPr="00041F34">
              <w:rPr>
                <w:rStyle w:val="FontStyle16"/>
                <w:sz w:val="24"/>
                <w:szCs w:val="24"/>
              </w:rPr>
              <w:t>(по всем группам/объединениям за межаттестационный период):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по программе 1-3 года обучения - менее 75 %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или по программе более 3-х лет обучения - менее 50 %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 программе 1-3 года обучения – не менее 75 % обучающихся или по программе более             </w:t>
            </w:r>
            <w:r w:rsidR="00041F34"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3-х лет обучения – не менее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 программе 1-3 года обучения – не менее 85 % обучающихся или по программе более                 </w:t>
            </w:r>
            <w:r w:rsidR="00041F34">
              <w:rPr>
                <w:rFonts w:ascii="Times New Roman" w:hAnsi="Times New Roman" w:cs="Times New Roman"/>
                <w:sz w:val="24"/>
                <w:szCs w:val="24"/>
              </w:rPr>
              <w:t xml:space="preserve">3-х лет обучения – не менее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70 %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Уровень мотивации  к профилю (направлению) деятельности (по результатам диагностики):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средний и высокий уровень - менее 85 %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85 %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и высокий уровень – не менее 95 %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, поступивших в учреждения высшего профессионального образования по спортивному профилю обучения: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3-х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041F34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переданных для дальнейшего повышения спортивного мастерства др</w:t>
            </w:r>
            <w:r w:rsidRPr="00041F3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41F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гим тренерам или в другой вид спорта при условии роста их результатов: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1 %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0434E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2 %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10434E" w:rsidRPr="00041F34" w:rsidRDefault="0010434E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1F34" w:rsidRPr="00C55DED" w:rsidTr="00C41068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2 "Выявление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 (если деятельность педаг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гических работников связана с направлениями педагогической работы, по которым такие мероприятия проводятся)"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24 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"Выявление и развитие способностей обучающихся к научной (интеллектуальной), творческой, физкультурно-спортивной деятельности"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Организует  индивидуальную работу с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</w:rPr>
              <w:t>перспективными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</w:rPr>
              <w:t xml:space="preserve"> обучающимися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разрабатывает механизмы выявления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перспективных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2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разрабатывает и реализует индивидуальные "маршруты" обучения перспективных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обуча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"Достижения обучающихся в спортивных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20 и выше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подготовленных педагогическим работником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призёров и победителей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спортивных с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ревнований (</w:t>
            </w:r>
            <w:r w:rsidRPr="00041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минимальном стаже работы тренера-преподавателя по спорту со спортсменом – 2 года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наличии д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стижений об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чающихся в ра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спортивных соревнованиях)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призёры муниципального уровня (не менее 5-х)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победители муниципального уровня (не менее 5-х)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призёры краевого уровня (не менее 3-х)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победители краевого уровня (не менее 3-х)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призёры межрегионального (зонального)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победители межрегионального (зонального) уровня (не менее 2-х)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призёры федерального уровня (за каждого спортсмена)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победители федерального уровня (за каждого спортсмена)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34" w:rsidRPr="00C55DED" w:rsidTr="00D20D76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чения и воспитания, продуктивное использование новых образовательных технологий,  транслирование в педагогических ко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лективах опыта практических результатов своей профессиональной деятельности, в том числе экспериментальной и инновац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онной"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59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мационные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 и развивает методы и средства обучения: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целей и задач ра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вития обучающихся, их проблем, условий педагогической деятельности</w:t>
            </w:r>
            <w:r w:rsidR="00041F34" w:rsidRPr="00041F3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раскрывает их суть и результаты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о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вых образовательных технологий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 диагностического инструментария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и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в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Pr="00041F3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создает условия для рационального сочетания труда и отдыха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образовательном процессе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11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bCs/>
                <w:sz w:val="24"/>
                <w:szCs w:val="24"/>
              </w:rPr>
              <w:t xml:space="preserve">создает условия для стабильного развития общей физической подготовки 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11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формирует у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мотивацию к здоровому образу жизни, культуру здоровья, питания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"Участие в экспериментальной, инновационной деятельности"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показатель не раскрыт или</w:t>
            </w: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04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нальной</w:t>
            </w:r>
            <w:r w:rsid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(регулярно проводит мастер-классы, тренинги, стендовые защиты, выст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пает с докладами на семинарах, вебинарах, конференциях,  педагогических чтениях):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tabs>
                <w:tab w:val="left" w:pos="34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041F3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является руководителем педагогической практики студентов образовательных организаций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041F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ю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Непрерывность образования педагогического работника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емого предмета (направл</w:t>
            </w:r>
            <w:r w:rsidR="00041F34">
              <w:rPr>
                <w:rFonts w:ascii="Times New Roman" w:hAnsi="Times New Roman" w:cs="Times New Roman"/>
                <w:sz w:val="24"/>
                <w:szCs w:val="24"/>
              </w:rPr>
              <w:t xml:space="preserve">ению деятельности), включающим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общетеоретический и предметно-технологический блоки, в объеме не менее 108 часов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, круглых столах, 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ризнание профессиональным сообществом высокой квалификации педагогическ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го работника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1F34" w:rsidRPr="00C55DED" w:rsidTr="00F95B62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041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Методическая работа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Разрабатывает и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обосновывает программу образовательной деятельности с обучающимися, во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питанниками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представлена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рабочая образовательная программа, но без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социально-педагогическими условиями, целями данной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образовательной 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личностными особенностями и потребностями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и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"Участие в профессиональных конкурсах, спортивных соревнованиях"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ков, спортивных соревнованиях: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1F34" w:rsidRPr="00C55DED" w:rsidTr="007874B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- 10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Профессиональная культура педагогического работника"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(по результатам диагн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стики)</w:t>
            </w:r>
          </w:p>
          <w:p w:rsidR="00925167" w:rsidRPr="00041F34" w:rsidRDefault="00925167" w:rsidP="00041F34">
            <w:pPr>
              <w:widowControl w:val="0"/>
              <w:tabs>
                <w:tab w:val="left" w:pos="0"/>
              </w:tabs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/>
                <w:bCs/>
                <w:iCs/>
                <w:sz w:val="24"/>
                <w:szCs w:val="24"/>
              </w:rPr>
              <w:t>Удовлетворенность обучающихся, родителей организацией и содержанием образовательного процесса, организуемого аттестуемым педагогическим работником: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/>
                <w:bCs/>
                <w:iCs/>
                <w:sz w:val="24"/>
                <w:szCs w:val="24"/>
              </w:rPr>
              <w:t>- показатель не раскрыт или менее 70 % обучающихся,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не менее 70 %</w:t>
            </w:r>
            <w:r w:rsidRPr="00041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не менее 90 %</w:t>
            </w:r>
            <w:r w:rsidRPr="00041F3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обучающихся, родителей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ных проблем"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ском движении (член попечительского/управляющего совета, совета трудового коллектива,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профсоюзный активист, председатель/член совета микрорайона, депутат совета, член избир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тельной комиссии, общественной палаты) (</w:t>
            </w:r>
            <w:r w:rsidRPr="0004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04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041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41F34" w:rsidRPr="00C55DED" w:rsidTr="00BD0F5A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учебно-тренировочном занятии (на примере конспекта учебно-тренировочного занятия)"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5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  <w:r w:rsidRPr="00041F34">
              <w:rPr>
                <w:rFonts w:ascii="Times New Roman" w:eastAsia="TimesNewRoman" w:hAnsi="Times New Roman"/>
                <w:sz w:val="24"/>
                <w:szCs w:val="24"/>
              </w:rPr>
              <w:t xml:space="preserve"> при подготовке к занятию: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ставит цели, направленные на ожидаемый и диагностируемый результат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учебно-тренировочного занятия как систему действий по достижению п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дагогической цели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обеспечивает определение </w:t>
            </w:r>
            <w:proofErr w:type="gramStart"/>
            <w:r w:rsidRPr="00041F3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41F34">
              <w:rPr>
                <w:rFonts w:ascii="Times New Roman" w:hAnsi="Times New Roman"/>
                <w:sz w:val="24"/>
                <w:szCs w:val="24"/>
              </w:rPr>
              <w:t xml:space="preserve"> цели обучения посредством чёткой постановки з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дач как пределов возможного изучения учебного материала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eastAsia="TimesNewRoman" w:hAnsi="Times New Roman"/>
                <w:sz w:val="24"/>
                <w:szCs w:val="24"/>
              </w:rPr>
              <w:t xml:space="preserve">ставит задачи на каждую часть 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 xml:space="preserve">учебно-тренировочного занятия: </w:t>
            </w:r>
            <w:r w:rsidRPr="00041F34">
              <w:rPr>
                <w:rFonts w:ascii="Times New Roman" w:eastAsia="TimesNewRoman" w:hAnsi="Times New Roman"/>
                <w:sz w:val="24"/>
                <w:szCs w:val="24"/>
              </w:rPr>
              <w:t>подготовительную, основную и заключительную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использование методических приёмов, заданий, направленных на мотивирование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Компетентность педагогического работника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при реализации образовательной пр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граммы на учебно-тренировочном занятии (на примере видеозаписи учебно-тренировочного з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нятия)"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–25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учебно-тренировочного занятия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вывести обучающихся на значимую и привлекательную для них цель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поставленные цели направлены на диагностируемый результат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 действий по реализации цели занятия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демонстрирует реализацию цели в этапах занятия как систему действий педагога и обуча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щихся по ее достижению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критерии, позволяющие им самостоятельно оценить качество п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лученных результатов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6.3.2.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мотивирования </w:t>
            </w:r>
            <w:proofErr w:type="gramStart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способствующие актуализации личностного опыта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предлагает задания, способствующие пониманию ограниченности имеющихся у обучающихся 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знаний и умений для решения поставленной задачи или учебной проблемы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создавать ситуации, обеспечивающие обучающимся успех в учебной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использует методические приёмы, задания, н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аправленные  на развитие интереса </w:t>
            </w:r>
            <w:proofErr w:type="gramStart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к изучению темы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учебно-тренировочного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степени достижения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6.3.3.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предмете преподавания (уровень владения учебным материалом по направлению деятельности):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демонстрирует знание основ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изучаемого материала, построения учебно-тренировочного зан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тия (деление на части и их содержание)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ориентируется в разновидностях спортивного оборудования и инвентаря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раскрывает связь новой темы с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предыдущими (повторение) и будущими (конечная цель изуч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емого материала)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раскрывает внутренние процессы, происходящие в организме человека под воздействием тр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нировочных нагрузок, или внешние показатели техники движений (анатомия, физиология, би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механика)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6.3.4.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- используемые на учебном занятии методы обучения соответствуют поставленным целям и з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дачам, содержанию изучаемого материала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используемые </w:t>
            </w: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учебно-тренировочном занятии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методы обучения соответствуют</w:t>
            </w: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возрастным и индивидуальным особенностям </w:t>
            </w:r>
            <w:proofErr w:type="gramStart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вой  форм деятельности обучающихся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самооценки 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организует рефлексию </w:t>
            </w:r>
            <w:proofErr w:type="gramStart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относительно поставленной ими цели 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качеств: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Суммирование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демонстрирует демократический стиль в общении с </w:t>
            </w:r>
            <w:proofErr w:type="gramStart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- реализует право </w:t>
            </w:r>
            <w:proofErr w:type="gramStart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на ошибку и её исправление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- проявляет искренний интерес к позиции каждого обучающегося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eastAsia="TimesNewRoman" w:hAnsi="Times New Roman" w:cs="Times New Roman"/>
                <w:sz w:val="24"/>
                <w:szCs w:val="24"/>
              </w:rPr>
              <w:t>- обеспечивает направленность деятельности каждого обучающегося на развитие личностных качеств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34" w:rsidRPr="00C55DED" w:rsidTr="003F5911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041F34" w:rsidRPr="00041F34" w:rsidRDefault="00041F34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041F34" w:rsidRPr="00041F34" w:rsidRDefault="00041F34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925167" w:rsidRPr="00041F34" w:rsidRDefault="00925167" w:rsidP="00041F34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7.1.3.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7.1.4.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а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в</w:t>
            </w:r>
            <w:r w:rsidRPr="00041F34">
              <w:rPr>
                <w:rFonts w:ascii="Times New Roman" w:hAnsi="Times New Roman"/>
                <w:sz w:val="24"/>
                <w:szCs w:val="24"/>
              </w:rPr>
              <w:t>ского края", "Заслуженный работник здравоохранения  Хабаровского края",  почетный знак Правительства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32024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7.1.5.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E32024" w:rsidRPr="00041F34" w:rsidRDefault="00E32024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925167" w:rsidRPr="00041F34" w:rsidRDefault="00925167" w:rsidP="00041F34">
            <w:pPr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Является победителем в этапах Всероссийских конкурсов (не ниже краевого) по направлениям отрасли "физическая культура и спорт"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Поглощение</w:t>
            </w: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F34">
              <w:rPr>
                <w:rFonts w:ascii="Times New Roman" w:hAnsi="Times New Roman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167" w:rsidRPr="00C55DED" w:rsidTr="00041F34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>7.3.1.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1F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925167" w:rsidRPr="00041F34" w:rsidRDefault="00925167" w:rsidP="00041F34">
            <w:pPr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14C" w:rsidRDefault="00C6214C" w:rsidP="00851576">
      <w:p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55B" w:rsidRDefault="00D6655B" w:rsidP="00D6655B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D6655B" w:rsidRDefault="00D6655B" w:rsidP="008F4654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817C9C" w:rsidRPr="00E162F4" w:rsidRDefault="00D6655B" w:rsidP="00C95C7B">
      <w:pPr>
        <w:spacing w:after="0" w:line="240" w:lineRule="exact"/>
        <w:rPr>
          <w:rFonts w:ascii="Times New Roman" w:hAnsi="Times New Roman" w:cs="Times New Roman"/>
          <w:i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E9156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56635F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575E2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E9156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sectPr w:rsidR="00817C9C" w:rsidRPr="00E162F4" w:rsidSect="00041F34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14C" w:rsidRDefault="00C6214C" w:rsidP="00FA7426">
      <w:pPr>
        <w:spacing w:after="0" w:line="240" w:lineRule="auto"/>
      </w:pPr>
      <w:r>
        <w:separator/>
      </w:r>
    </w:p>
  </w:endnote>
  <w:endnote w:type="continuationSeparator" w:id="0">
    <w:p w:rsidR="00C6214C" w:rsidRDefault="00C6214C" w:rsidP="00FA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14C" w:rsidRDefault="00C6214C" w:rsidP="00FA7426">
      <w:pPr>
        <w:spacing w:after="0" w:line="240" w:lineRule="auto"/>
      </w:pPr>
      <w:r>
        <w:separator/>
      </w:r>
    </w:p>
  </w:footnote>
  <w:footnote w:type="continuationSeparator" w:id="0">
    <w:p w:rsidR="00C6214C" w:rsidRDefault="00C6214C" w:rsidP="00FA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821576300"/>
      <w:docPartObj>
        <w:docPartGallery w:val="Page Numbers (Top of Page)"/>
        <w:docPartUnique/>
      </w:docPartObj>
    </w:sdtPr>
    <w:sdtEndPr/>
    <w:sdtContent>
      <w:p w:rsidR="00C6214C" w:rsidRPr="009C6100" w:rsidRDefault="005614EB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61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214C" w:rsidRPr="009C61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C61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63338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9C610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6214C" w:rsidRDefault="00C621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98"/>
      <w:docPartObj>
        <w:docPartGallery w:val="Page Numbers (Top of Page)"/>
        <w:docPartUnique/>
      </w:docPartObj>
    </w:sdtPr>
    <w:sdtEndPr/>
    <w:sdtContent>
      <w:p w:rsidR="00041F34" w:rsidRDefault="00663338">
        <w:pPr>
          <w:pStyle w:val="ab"/>
          <w:jc w:val="center"/>
        </w:pPr>
      </w:p>
    </w:sdtContent>
  </w:sdt>
  <w:p w:rsidR="00041F34" w:rsidRDefault="00041F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43F3"/>
    <w:multiLevelType w:val="hybridMultilevel"/>
    <w:tmpl w:val="2696C606"/>
    <w:lvl w:ilvl="0" w:tplc="E780D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157B6"/>
    <w:rsid w:val="00022008"/>
    <w:rsid w:val="00037B5B"/>
    <w:rsid w:val="000416D3"/>
    <w:rsid w:val="00041F34"/>
    <w:rsid w:val="000425C2"/>
    <w:rsid w:val="00046673"/>
    <w:rsid w:val="0005594C"/>
    <w:rsid w:val="00065B43"/>
    <w:rsid w:val="000676DA"/>
    <w:rsid w:val="000806E0"/>
    <w:rsid w:val="00081983"/>
    <w:rsid w:val="00094488"/>
    <w:rsid w:val="000A60E0"/>
    <w:rsid w:val="000B1748"/>
    <w:rsid w:val="000B4F97"/>
    <w:rsid w:val="000C0701"/>
    <w:rsid w:val="000C1CF3"/>
    <w:rsid w:val="000C66F0"/>
    <w:rsid w:val="000D0412"/>
    <w:rsid w:val="000D0910"/>
    <w:rsid w:val="000D386F"/>
    <w:rsid w:val="000E0430"/>
    <w:rsid w:val="000E1F04"/>
    <w:rsid w:val="000E6183"/>
    <w:rsid w:val="000E6EA7"/>
    <w:rsid w:val="0010434E"/>
    <w:rsid w:val="001065AF"/>
    <w:rsid w:val="0011004C"/>
    <w:rsid w:val="00111795"/>
    <w:rsid w:val="00117BA6"/>
    <w:rsid w:val="00126031"/>
    <w:rsid w:val="00142968"/>
    <w:rsid w:val="0014386C"/>
    <w:rsid w:val="001438C3"/>
    <w:rsid w:val="00143CD5"/>
    <w:rsid w:val="00144CFC"/>
    <w:rsid w:val="00145E54"/>
    <w:rsid w:val="00147CE6"/>
    <w:rsid w:val="00164CBA"/>
    <w:rsid w:val="00166E5E"/>
    <w:rsid w:val="00172FE5"/>
    <w:rsid w:val="00174035"/>
    <w:rsid w:val="00185F68"/>
    <w:rsid w:val="001878DA"/>
    <w:rsid w:val="00191C1A"/>
    <w:rsid w:val="0019213F"/>
    <w:rsid w:val="00192965"/>
    <w:rsid w:val="001958B6"/>
    <w:rsid w:val="001A1448"/>
    <w:rsid w:val="001A545D"/>
    <w:rsid w:val="001A5695"/>
    <w:rsid w:val="001A787E"/>
    <w:rsid w:val="001B3A2F"/>
    <w:rsid w:val="001C555A"/>
    <w:rsid w:val="001C6985"/>
    <w:rsid w:val="001D0293"/>
    <w:rsid w:val="001D23D1"/>
    <w:rsid w:val="001D5202"/>
    <w:rsid w:val="001D6B4C"/>
    <w:rsid w:val="001E1DFE"/>
    <w:rsid w:val="001E1F91"/>
    <w:rsid w:val="001E41DA"/>
    <w:rsid w:val="001E4C5D"/>
    <w:rsid w:val="001E4E8B"/>
    <w:rsid w:val="001E5D6A"/>
    <w:rsid w:val="001F2F19"/>
    <w:rsid w:val="001F5F2F"/>
    <w:rsid w:val="001F6301"/>
    <w:rsid w:val="00203A05"/>
    <w:rsid w:val="002079A8"/>
    <w:rsid w:val="00211E6B"/>
    <w:rsid w:val="00217C9C"/>
    <w:rsid w:val="00221EC9"/>
    <w:rsid w:val="00224460"/>
    <w:rsid w:val="002316F9"/>
    <w:rsid w:val="002330E9"/>
    <w:rsid w:val="002340E6"/>
    <w:rsid w:val="002342DC"/>
    <w:rsid w:val="00241761"/>
    <w:rsid w:val="00245505"/>
    <w:rsid w:val="00246D05"/>
    <w:rsid w:val="00247BD9"/>
    <w:rsid w:val="00247BFB"/>
    <w:rsid w:val="002547F2"/>
    <w:rsid w:val="002620A2"/>
    <w:rsid w:val="00265C4D"/>
    <w:rsid w:val="002737C2"/>
    <w:rsid w:val="0028057C"/>
    <w:rsid w:val="00280E85"/>
    <w:rsid w:val="0028687C"/>
    <w:rsid w:val="0029041A"/>
    <w:rsid w:val="00294E5E"/>
    <w:rsid w:val="002970F7"/>
    <w:rsid w:val="002A1993"/>
    <w:rsid w:val="002A2E2E"/>
    <w:rsid w:val="002B5F23"/>
    <w:rsid w:val="002C59B2"/>
    <w:rsid w:val="002C6E1E"/>
    <w:rsid w:val="002D0D9F"/>
    <w:rsid w:val="002E62A1"/>
    <w:rsid w:val="002E77AD"/>
    <w:rsid w:val="002F1153"/>
    <w:rsid w:val="002F1ECD"/>
    <w:rsid w:val="002F2384"/>
    <w:rsid w:val="002F5137"/>
    <w:rsid w:val="002F6D19"/>
    <w:rsid w:val="003006A7"/>
    <w:rsid w:val="00301F55"/>
    <w:rsid w:val="00304A0A"/>
    <w:rsid w:val="00304A55"/>
    <w:rsid w:val="00306587"/>
    <w:rsid w:val="003123AA"/>
    <w:rsid w:val="003130B2"/>
    <w:rsid w:val="00313E36"/>
    <w:rsid w:val="00316C66"/>
    <w:rsid w:val="00321B6E"/>
    <w:rsid w:val="0032286D"/>
    <w:rsid w:val="003316C6"/>
    <w:rsid w:val="00333C18"/>
    <w:rsid w:val="0033533A"/>
    <w:rsid w:val="00337964"/>
    <w:rsid w:val="00341AF2"/>
    <w:rsid w:val="00360872"/>
    <w:rsid w:val="00360A45"/>
    <w:rsid w:val="00363821"/>
    <w:rsid w:val="00366AD2"/>
    <w:rsid w:val="003677E4"/>
    <w:rsid w:val="0037795E"/>
    <w:rsid w:val="00380313"/>
    <w:rsid w:val="00391C62"/>
    <w:rsid w:val="00396867"/>
    <w:rsid w:val="00397131"/>
    <w:rsid w:val="003A13C1"/>
    <w:rsid w:val="003B18D3"/>
    <w:rsid w:val="003B45DA"/>
    <w:rsid w:val="003B6764"/>
    <w:rsid w:val="003C0C1C"/>
    <w:rsid w:val="003C2121"/>
    <w:rsid w:val="003E3792"/>
    <w:rsid w:val="003E5455"/>
    <w:rsid w:val="003E7FE7"/>
    <w:rsid w:val="003F531A"/>
    <w:rsid w:val="003F6BD4"/>
    <w:rsid w:val="003F7038"/>
    <w:rsid w:val="00400037"/>
    <w:rsid w:val="00401D81"/>
    <w:rsid w:val="00403556"/>
    <w:rsid w:val="00415B12"/>
    <w:rsid w:val="00422D13"/>
    <w:rsid w:val="00431277"/>
    <w:rsid w:val="00435591"/>
    <w:rsid w:val="00450B7B"/>
    <w:rsid w:val="00462F59"/>
    <w:rsid w:val="0046385A"/>
    <w:rsid w:val="00464544"/>
    <w:rsid w:val="00467044"/>
    <w:rsid w:val="004719B0"/>
    <w:rsid w:val="00474015"/>
    <w:rsid w:val="00480699"/>
    <w:rsid w:val="0048090B"/>
    <w:rsid w:val="00484F1C"/>
    <w:rsid w:val="004973D9"/>
    <w:rsid w:val="004A2AF6"/>
    <w:rsid w:val="004A6CEE"/>
    <w:rsid w:val="004B4DAB"/>
    <w:rsid w:val="004C40F3"/>
    <w:rsid w:val="004D26AC"/>
    <w:rsid w:val="004D32C4"/>
    <w:rsid w:val="004D3CFA"/>
    <w:rsid w:val="004D46CC"/>
    <w:rsid w:val="004D5B5F"/>
    <w:rsid w:val="004F25DE"/>
    <w:rsid w:val="004F37B1"/>
    <w:rsid w:val="00500A89"/>
    <w:rsid w:val="00501410"/>
    <w:rsid w:val="00510761"/>
    <w:rsid w:val="00513BCB"/>
    <w:rsid w:val="005252B9"/>
    <w:rsid w:val="00527B51"/>
    <w:rsid w:val="00535830"/>
    <w:rsid w:val="00556EAF"/>
    <w:rsid w:val="00560482"/>
    <w:rsid w:val="005614EB"/>
    <w:rsid w:val="00563630"/>
    <w:rsid w:val="0056635F"/>
    <w:rsid w:val="00567CE0"/>
    <w:rsid w:val="00567FB3"/>
    <w:rsid w:val="00570958"/>
    <w:rsid w:val="005714B6"/>
    <w:rsid w:val="0057155D"/>
    <w:rsid w:val="005715F7"/>
    <w:rsid w:val="00572462"/>
    <w:rsid w:val="00575E2A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0E85"/>
    <w:rsid w:val="005A3542"/>
    <w:rsid w:val="005A6AF0"/>
    <w:rsid w:val="005B0251"/>
    <w:rsid w:val="005B60FA"/>
    <w:rsid w:val="005C2E39"/>
    <w:rsid w:val="005C2E82"/>
    <w:rsid w:val="005C51FB"/>
    <w:rsid w:val="005C609A"/>
    <w:rsid w:val="005D4728"/>
    <w:rsid w:val="005E17AC"/>
    <w:rsid w:val="005E1D38"/>
    <w:rsid w:val="005F4D1C"/>
    <w:rsid w:val="00610214"/>
    <w:rsid w:val="00613F0D"/>
    <w:rsid w:val="006149D9"/>
    <w:rsid w:val="00624B67"/>
    <w:rsid w:val="00630F4B"/>
    <w:rsid w:val="00632DC7"/>
    <w:rsid w:val="00633C7F"/>
    <w:rsid w:val="00636FAF"/>
    <w:rsid w:val="00651EB2"/>
    <w:rsid w:val="00652444"/>
    <w:rsid w:val="00655DCF"/>
    <w:rsid w:val="00660610"/>
    <w:rsid w:val="00663338"/>
    <w:rsid w:val="00664C7F"/>
    <w:rsid w:val="00676701"/>
    <w:rsid w:val="00677E13"/>
    <w:rsid w:val="00683E62"/>
    <w:rsid w:val="006875E2"/>
    <w:rsid w:val="00690F46"/>
    <w:rsid w:val="006926B6"/>
    <w:rsid w:val="006978A0"/>
    <w:rsid w:val="006A01A3"/>
    <w:rsid w:val="006A1A7E"/>
    <w:rsid w:val="006A2131"/>
    <w:rsid w:val="006A73D4"/>
    <w:rsid w:val="006B4155"/>
    <w:rsid w:val="006C148D"/>
    <w:rsid w:val="006C2BEB"/>
    <w:rsid w:val="006C6112"/>
    <w:rsid w:val="006C710E"/>
    <w:rsid w:val="006D472C"/>
    <w:rsid w:val="006D76AB"/>
    <w:rsid w:val="006E03FC"/>
    <w:rsid w:val="006E1B36"/>
    <w:rsid w:val="006E2040"/>
    <w:rsid w:val="006E5D29"/>
    <w:rsid w:val="006F1655"/>
    <w:rsid w:val="00713304"/>
    <w:rsid w:val="007139E1"/>
    <w:rsid w:val="00714884"/>
    <w:rsid w:val="00717440"/>
    <w:rsid w:val="00730CD0"/>
    <w:rsid w:val="0073580D"/>
    <w:rsid w:val="00735AC4"/>
    <w:rsid w:val="00737039"/>
    <w:rsid w:val="007400EF"/>
    <w:rsid w:val="00741152"/>
    <w:rsid w:val="007445CC"/>
    <w:rsid w:val="00745CBD"/>
    <w:rsid w:val="0074737E"/>
    <w:rsid w:val="00755891"/>
    <w:rsid w:val="00762AC1"/>
    <w:rsid w:val="0076463A"/>
    <w:rsid w:val="007655AC"/>
    <w:rsid w:val="007663BA"/>
    <w:rsid w:val="0077624C"/>
    <w:rsid w:val="007815FD"/>
    <w:rsid w:val="0079332D"/>
    <w:rsid w:val="007941D0"/>
    <w:rsid w:val="0079762A"/>
    <w:rsid w:val="00797D98"/>
    <w:rsid w:val="007A4E41"/>
    <w:rsid w:val="007B5F7B"/>
    <w:rsid w:val="007C07BE"/>
    <w:rsid w:val="007E2AA5"/>
    <w:rsid w:val="007E3B11"/>
    <w:rsid w:val="007F2AEB"/>
    <w:rsid w:val="0080294E"/>
    <w:rsid w:val="008071DB"/>
    <w:rsid w:val="00810F45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51576"/>
    <w:rsid w:val="008615E7"/>
    <w:rsid w:val="0086639E"/>
    <w:rsid w:val="00872E8B"/>
    <w:rsid w:val="00876CDE"/>
    <w:rsid w:val="00876D5F"/>
    <w:rsid w:val="0087784A"/>
    <w:rsid w:val="00877BA0"/>
    <w:rsid w:val="00882F0F"/>
    <w:rsid w:val="008A223D"/>
    <w:rsid w:val="008B3C64"/>
    <w:rsid w:val="008B49A7"/>
    <w:rsid w:val="008B4E4E"/>
    <w:rsid w:val="008B54D2"/>
    <w:rsid w:val="008B5BDB"/>
    <w:rsid w:val="008B5D6F"/>
    <w:rsid w:val="008D29D7"/>
    <w:rsid w:val="008D635D"/>
    <w:rsid w:val="008D6DD0"/>
    <w:rsid w:val="008E5EF1"/>
    <w:rsid w:val="008E7D90"/>
    <w:rsid w:val="008F4654"/>
    <w:rsid w:val="00900F22"/>
    <w:rsid w:val="009039AF"/>
    <w:rsid w:val="0090559C"/>
    <w:rsid w:val="00912567"/>
    <w:rsid w:val="00920AF5"/>
    <w:rsid w:val="00922B93"/>
    <w:rsid w:val="00925167"/>
    <w:rsid w:val="00926769"/>
    <w:rsid w:val="00926B67"/>
    <w:rsid w:val="00930662"/>
    <w:rsid w:val="00933C02"/>
    <w:rsid w:val="00941FC4"/>
    <w:rsid w:val="009422D6"/>
    <w:rsid w:val="00946462"/>
    <w:rsid w:val="00952CF8"/>
    <w:rsid w:val="00953E90"/>
    <w:rsid w:val="0095485D"/>
    <w:rsid w:val="00954F58"/>
    <w:rsid w:val="0096422D"/>
    <w:rsid w:val="0096501A"/>
    <w:rsid w:val="00982007"/>
    <w:rsid w:val="009863CC"/>
    <w:rsid w:val="00987DC6"/>
    <w:rsid w:val="00995764"/>
    <w:rsid w:val="009966FE"/>
    <w:rsid w:val="00997086"/>
    <w:rsid w:val="009A3C43"/>
    <w:rsid w:val="009B1401"/>
    <w:rsid w:val="009B1B66"/>
    <w:rsid w:val="009B5984"/>
    <w:rsid w:val="009B754B"/>
    <w:rsid w:val="009C6100"/>
    <w:rsid w:val="009C7735"/>
    <w:rsid w:val="009D09FC"/>
    <w:rsid w:val="009D15D4"/>
    <w:rsid w:val="009D2C25"/>
    <w:rsid w:val="009D4446"/>
    <w:rsid w:val="009E54C4"/>
    <w:rsid w:val="009F3706"/>
    <w:rsid w:val="009F6674"/>
    <w:rsid w:val="00A128D5"/>
    <w:rsid w:val="00A15EFD"/>
    <w:rsid w:val="00A302A4"/>
    <w:rsid w:val="00A30D33"/>
    <w:rsid w:val="00A325E9"/>
    <w:rsid w:val="00A37520"/>
    <w:rsid w:val="00A403EB"/>
    <w:rsid w:val="00A42479"/>
    <w:rsid w:val="00A4452C"/>
    <w:rsid w:val="00A45095"/>
    <w:rsid w:val="00A65659"/>
    <w:rsid w:val="00A678CF"/>
    <w:rsid w:val="00A70516"/>
    <w:rsid w:val="00A724B4"/>
    <w:rsid w:val="00A73B95"/>
    <w:rsid w:val="00A7413B"/>
    <w:rsid w:val="00A82E2E"/>
    <w:rsid w:val="00A842C1"/>
    <w:rsid w:val="00A92425"/>
    <w:rsid w:val="00A95CDC"/>
    <w:rsid w:val="00A96E50"/>
    <w:rsid w:val="00AA01D2"/>
    <w:rsid w:val="00AA1241"/>
    <w:rsid w:val="00AA48B6"/>
    <w:rsid w:val="00AA552C"/>
    <w:rsid w:val="00AA60AF"/>
    <w:rsid w:val="00AB2800"/>
    <w:rsid w:val="00AB29CA"/>
    <w:rsid w:val="00AB5582"/>
    <w:rsid w:val="00AC32BD"/>
    <w:rsid w:val="00AC4626"/>
    <w:rsid w:val="00AC767D"/>
    <w:rsid w:val="00AC7871"/>
    <w:rsid w:val="00AC7974"/>
    <w:rsid w:val="00AD0EF3"/>
    <w:rsid w:val="00AD4A45"/>
    <w:rsid w:val="00AD738B"/>
    <w:rsid w:val="00AD7FA4"/>
    <w:rsid w:val="00AE06FC"/>
    <w:rsid w:val="00AE4FA1"/>
    <w:rsid w:val="00AE6C8B"/>
    <w:rsid w:val="00AF1422"/>
    <w:rsid w:val="00AF6C9F"/>
    <w:rsid w:val="00B0227A"/>
    <w:rsid w:val="00B046DF"/>
    <w:rsid w:val="00B0634B"/>
    <w:rsid w:val="00B113FA"/>
    <w:rsid w:val="00B12D50"/>
    <w:rsid w:val="00B220D1"/>
    <w:rsid w:val="00B23C65"/>
    <w:rsid w:val="00B24B93"/>
    <w:rsid w:val="00B315BF"/>
    <w:rsid w:val="00B376EF"/>
    <w:rsid w:val="00B442BB"/>
    <w:rsid w:val="00B44551"/>
    <w:rsid w:val="00B515EB"/>
    <w:rsid w:val="00B52C07"/>
    <w:rsid w:val="00B54D7B"/>
    <w:rsid w:val="00B57664"/>
    <w:rsid w:val="00B6168A"/>
    <w:rsid w:val="00B7324D"/>
    <w:rsid w:val="00B73481"/>
    <w:rsid w:val="00B8160C"/>
    <w:rsid w:val="00B81679"/>
    <w:rsid w:val="00B82280"/>
    <w:rsid w:val="00B91A24"/>
    <w:rsid w:val="00B944A8"/>
    <w:rsid w:val="00B9643D"/>
    <w:rsid w:val="00B96834"/>
    <w:rsid w:val="00B97674"/>
    <w:rsid w:val="00BA252B"/>
    <w:rsid w:val="00BA36F5"/>
    <w:rsid w:val="00BB02D9"/>
    <w:rsid w:val="00BB6054"/>
    <w:rsid w:val="00BB7BF4"/>
    <w:rsid w:val="00BC0CAE"/>
    <w:rsid w:val="00BC4EFE"/>
    <w:rsid w:val="00BC59C0"/>
    <w:rsid w:val="00BE179E"/>
    <w:rsid w:val="00BF1A47"/>
    <w:rsid w:val="00BF3C2B"/>
    <w:rsid w:val="00BF6BC5"/>
    <w:rsid w:val="00BF7654"/>
    <w:rsid w:val="00C0672F"/>
    <w:rsid w:val="00C157A4"/>
    <w:rsid w:val="00C17395"/>
    <w:rsid w:val="00C26466"/>
    <w:rsid w:val="00C431A0"/>
    <w:rsid w:val="00C43DE2"/>
    <w:rsid w:val="00C46F95"/>
    <w:rsid w:val="00C53988"/>
    <w:rsid w:val="00C6214C"/>
    <w:rsid w:val="00C63779"/>
    <w:rsid w:val="00C712D2"/>
    <w:rsid w:val="00C85FAF"/>
    <w:rsid w:val="00C90389"/>
    <w:rsid w:val="00C91F23"/>
    <w:rsid w:val="00C95C7B"/>
    <w:rsid w:val="00CA54D0"/>
    <w:rsid w:val="00CA5A27"/>
    <w:rsid w:val="00CA5C22"/>
    <w:rsid w:val="00CA76D6"/>
    <w:rsid w:val="00CB4063"/>
    <w:rsid w:val="00CB7970"/>
    <w:rsid w:val="00CC2379"/>
    <w:rsid w:val="00CD6441"/>
    <w:rsid w:val="00CE005C"/>
    <w:rsid w:val="00CE3573"/>
    <w:rsid w:val="00CF03DC"/>
    <w:rsid w:val="00CF72B5"/>
    <w:rsid w:val="00D00A7E"/>
    <w:rsid w:val="00D00A89"/>
    <w:rsid w:val="00D01164"/>
    <w:rsid w:val="00D0197B"/>
    <w:rsid w:val="00D04168"/>
    <w:rsid w:val="00D043BD"/>
    <w:rsid w:val="00D10096"/>
    <w:rsid w:val="00D1259D"/>
    <w:rsid w:val="00D12FCC"/>
    <w:rsid w:val="00D15A5E"/>
    <w:rsid w:val="00D15B2C"/>
    <w:rsid w:val="00D176E4"/>
    <w:rsid w:val="00D1788A"/>
    <w:rsid w:val="00D3252E"/>
    <w:rsid w:val="00D33BFE"/>
    <w:rsid w:val="00D361E4"/>
    <w:rsid w:val="00D37B0C"/>
    <w:rsid w:val="00D447A9"/>
    <w:rsid w:val="00D47411"/>
    <w:rsid w:val="00D5115D"/>
    <w:rsid w:val="00D543DC"/>
    <w:rsid w:val="00D55002"/>
    <w:rsid w:val="00D61420"/>
    <w:rsid w:val="00D614B5"/>
    <w:rsid w:val="00D61540"/>
    <w:rsid w:val="00D616D0"/>
    <w:rsid w:val="00D61ACB"/>
    <w:rsid w:val="00D62367"/>
    <w:rsid w:val="00D6320C"/>
    <w:rsid w:val="00D6655B"/>
    <w:rsid w:val="00D710C4"/>
    <w:rsid w:val="00D736FC"/>
    <w:rsid w:val="00D8486A"/>
    <w:rsid w:val="00D934E3"/>
    <w:rsid w:val="00D9571A"/>
    <w:rsid w:val="00D96A20"/>
    <w:rsid w:val="00DA0AC0"/>
    <w:rsid w:val="00DA190D"/>
    <w:rsid w:val="00DA4164"/>
    <w:rsid w:val="00DB2133"/>
    <w:rsid w:val="00DB2174"/>
    <w:rsid w:val="00DB5A7D"/>
    <w:rsid w:val="00DB75DF"/>
    <w:rsid w:val="00DC3BAB"/>
    <w:rsid w:val="00DC57DF"/>
    <w:rsid w:val="00DD6812"/>
    <w:rsid w:val="00DE34EB"/>
    <w:rsid w:val="00DE4B5E"/>
    <w:rsid w:val="00DE5632"/>
    <w:rsid w:val="00DE6A0B"/>
    <w:rsid w:val="00DF065C"/>
    <w:rsid w:val="00DF10D2"/>
    <w:rsid w:val="00DF41EC"/>
    <w:rsid w:val="00DF4489"/>
    <w:rsid w:val="00DF5C43"/>
    <w:rsid w:val="00DF763F"/>
    <w:rsid w:val="00E03909"/>
    <w:rsid w:val="00E0522E"/>
    <w:rsid w:val="00E06927"/>
    <w:rsid w:val="00E122C6"/>
    <w:rsid w:val="00E156CA"/>
    <w:rsid w:val="00E162F4"/>
    <w:rsid w:val="00E210A9"/>
    <w:rsid w:val="00E217BA"/>
    <w:rsid w:val="00E3160B"/>
    <w:rsid w:val="00E32024"/>
    <w:rsid w:val="00E33BBC"/>
    <w:rsid w:val="00E366F8"/>
    <w:rsid w:val="00E4044E"/>
    <w:rsid w:val="00E464F0"/>
    <w:rsid w:val="00E53218"/>
    <w:rsid w:val="00E53803"/>
    <w:rsid w:val="00E62329"/>
    <w:rsid w:val="00E631FE"/>
    <w:rsid w:val="00E742BC"/>
    <w:rsid w:val="00E7529C"/>
    <w:rsid w:val="00E779F6"/>
    <w:rsid w:val="00E80E06"/>
    <w:rsid w:val="00E81E45"/>
    <w:rsid w:val="00E853FE"/>
    <w:rsid w:val="00E85AA8"/>
    <w:rsid w:val="00E9156A"/>
    <w:rsid w:val="00E91D96"/>
    <w:rsid w:val="00E926F9"/>
    <w:rsid w:val="00E955F0"/>
    <w:rsid w:val="00E95AF3"/>
    <w:rsid w:val="00E96609"/>
    <w:rsid w:val="00EB07DF"/>
    <w:rsid w:val="00EB27E2"/>
    <w:rsid w:val="00EB2845"/>
    <w:rsid w:val="00EB62C3"/>
    <w:rsid w:val="00EB6D06"/>
    <w:rsid w:val="00EC52A1"/>
    <w:rsid w:val="00EC6627"/>
    <w:rsid w:val="00ED5EB7"/>
    <w:rsid w:val="00ED7B62"/>
    <w:rsid w:val="00EE4010"/>
    <w:rsid w:val="00EE441C"/>
    <w:rsid w:val="00EF10B8"/>
    <w:rsid w:val="00EF19AA"/>
    <w:rsid w:val="00EF4BA2"/>
    <w:rsid w:val="00F02053"/>
    <w:rsid w:val="00F05B42"/>
    <w:rsid w:val="00F104D7"/>
    <w:rsid w:val="00F216D8"/>
    <w:rsid w:val="00F21829"/>
    <w:rsid w:val="00F221DC"/>
    <w:rsid w:val="00F23B32"/>
    <w:rsid w:val="00F25025"/>
    <w:rsid w:val="00F34136"/>
    <w:rsid w:val="00F36DD3"/>
    <w:rsid w:val="00F416D6"/>
    <w:rsid w:val="00F44DC2"/>
    <w:rsid w:val="00F52767"/>
    <w:rsid w:val="00F616E0"/>
    <w:rsid w:val="00F622D0"/>
    <w:rsid w:val="00F632FA"/>
    <w:rsid w:val="00F67CF4"/>
    <w:rsid w:val="00F70158"/>
    <w:rsid w:val="00F730BE"/>
    <w:rsid w:val="00F81E13"/>
    <w:rsid w:val="00F84049"/>
    <w:rsid w:val="00F9050D"/>
    <w:rsid w:val="00F9309D"/>
    <w:rsid w:val="00FA7426"/>
    <w:rsid w:val="00FB04F0"/>
    <w:rsid w:val="00FB2C6B"/>
    <w:rsid w:val="00FB3159"/>
    <w:rsid w:val="00FB453A"/>
    <w:rsid w:val="00FC24F1"/>
    <w:rsid w:val="00FC2D97"/>
    <w:rsid w:val="00FC44AA"/>
    <w:rsid w:val="00FC50E2"/>
    <w:rsid w:val="00FC5AF8"/>
    <w:rsid w:val="00FC68C6"/>
    <w:rsid w:val="00FC7740"/>
    <w:rsid w:val="00FD34AF"/>
    <w:rsid w:val="00FD64A1"/>
    <w:rsid w:val="00FE15BC"/>
    <w:rsid w:val="00FE1E5E"/>
    <w:rsid w:val="00FE41C2"/>
    <w:rsid w:val="00FE4487"/>
    <w:rsid w:val="00FE44D7"/>
    <w:rsid w:val="00FF1024"/>
    <w:rsid w:val="00FF2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B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E0522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426"/>
  </w:style>
  <w:style w:type="paragraph" w:styleId="ad">
    <w:name w:val="footer"/>
    <w:basedOn w:val="a"/>
    <w:link w:val="ae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426"/>
  </w:style>
  <w:style w:type="paragraph" w:styleId="af">
    <w:name w:val="Normal (Web)"/>
    <w:basedOn w:val="a"/>
    <w:unhideWhenUsed/>
    <w:rsid w:val="00D6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">
    <w:name w:val="Абзац списка3"/>
    <w:basedOn w:val="a"/>
    <w:rsid w:val="00C9038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903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0389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qFormat/>
    <w:rsid w:val="00E0522E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B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4F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A7426"/>
  </w:style>
  <w:style w:type="paragraph" w:styleId="ad">
    <w:name w:val="footer"/>
    <w:basedOn w:val="a"/>
    <w:link w:val="ae"/>
    <w:uiPriority w:val="99"/>
    <w:unhideWhenUsed/>
    <w:rsid w:val="00FA7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A7426"/>
  </w:style>
  <w:style w:type="paragraph" w:styleId="af">
    <w:name w:val="Normal (Web)"/>
    <w:basedOn w:val="a"/>
    <w:unhideWhenUsed/>
    <w:rsid w:val="00D6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4812-3C0A-4E74-9FDA-38A2D016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4051</Words>
  <Characters>23093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7</cp:revision>
  <cp:lastPrinted>2014-12-25T00:47:00Z</cp:lastPrinted>
  <dcterms:created xsi:type="dcterms:W3CDTF">2014-12-17T02:40:00Z</dcterms:created>
  <dcterms:modified xsi:type="dcterms:W3CDTF">2014-12-29T07:22:00Z</dcterms:modified>
</cp:coreProperties>
</file>