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92" w:rsidRDefault="00615419" w:rsidP="00BF0592">
      <w:pPr>
        <w:pStyle w:val="af2"/>
        <w:spacing w:before="120" w:beforeAutospacing="0" w:after="120" w:afterAutospacing="0" w:line="240" w:lineRule="exact"/>
        <w:ind w:left="5664" w:firstLine="708"/>
        <w:jc w:val="center"/>
        <w:rPr>
          <w:sz w:val="28"/>
          <w:szCs w:val="28"/>
        </w:rPr>
      </w:pPr>
      <w:r>
        <w:t xml:space="preserve">         </w:t>
      </w:r>
      <w:r w:rsidR="00BF0592">
        <w:t xml:space="preserve">       </w:t>
      </w:r>
      <w:r w:rsidR="00BF0592">
        <w:rPr>
          <w:sz w:val="28"/>
          <w:szCs w:val="28"/>
        </w:rPr>
        <w:t xml:space="preserve">                            </w:t>
      </w:r>
      <w:r w:rsidR="00E20C1E">
        <w:rPr>
          <w:sz w:val="28"/>
          <w:szCs w:val="28"/>
        </w:rPr>
        <w:t xml:space="preserve">                      УТВЕРЖДЕН</w:t>
      </w:r>
    </w:p>
    <w:p w:rsidR="00BF0592" w:rsidRDefault="00BF0592" w:rsidP="00BF0592">
      <w:pPr>
        <w:pStyle w:val="af2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E20C1E">
        <w:rPr>
          <w:sz w:val="28"/>
          <w:szCs w:val="28"/>
        </w:rPr>
        <w:t xml:space="preserve">                            приказом</w:t>
      </w:r>
      <w:r>
        <w:rPr>
          <w:sz w:val="28"/>
          <w:szCs w:val="28"/>
        </w:rPr>
        <w:t xml:space="preserve"> министерства</w:t>
      </w:r>
    </w:p>
    <w:p w:rsidR="00BF0592" w:rsidRDefault="00BF0592" w:rsidP="00BF0592">
      <w:pPr>
        <w:pStyle w:val="af2"/>
        <w:spacing w:before="0" w:beforeAutospacing="0" w:after="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и науки</w:t>
      </w:r>
    </w:p>
    <w:p w:rsidR="00BF0592" w:rsidRDefault="00BF0592" w:rsidP="00BF0592">
      <w:pPr>
        <w:pStyle w:val="af2"/>
        <w:spacing w:before="0" w:beforeAutospacing="0" w:after="0" w:afterAutospacing="0" w:line="240" w:lineRule="exact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Хабаровского края</w:t>
      </w:r>
    </w:p>
    <w:p w:rsidR="0088467F" w:rsidRDefault="0088467F" w:rsidP="0088467F">
      <w:pPr>
        <w:pStyle w:val="af2"/>
        <w:spacing w:before="12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"29" 12.</w:t>
      </w:r>
      <w:r>
        <w:rPr>
          <w:sz w:val="28"/>
          <w:szCs w:val="28"/>
        </w:rPr>
        <w:t xml:space="preserve"> 2014 № 77___</w:t>
      </w:r>
    </w:p>
    <w:p w:rsidR="0088467F" w:rsidRDefault="0088467F" w:rsidP="00BF0592">
      <w:pPr>
        <w:spacing w:after="0" w:line="240" w:lineRule="auto"/>
        <w:contextualSpacing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BF0592" w:rsidRDefault="00BF0592" w:rsidP="00BF059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1E6121" w:rsidRDefault="001E6121" w:rsidP="00BF0592">
      <w:pPr>
        <w:spacing w:before="60" w:after="60" w:line="200" w:lineRule="exact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1E6121" w:rsidRDefault="001E6121" w:rsidP="001E6121">
      <w:pPr>
        <w:spacing w:after="0" w:line="240" w:lineRule="exact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1E6121" w:rsidRPr="00BF0592" w:rsidRDefault="001E6121" w:rsidP="001E6121">
      <w:pPr>
        <w:spacing w:after="0" w:line="240" w:lineRule="exact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F059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ПЕРЕЧЕНЬ</w:t>
      </w:r>
    </w:p>
    <w:p w:rsidR="00102DD0" w:rsidRPr="00BF0592" w:rsidRDefault="001E6121" w:rsidP="00BF0592">
      <w:pPr>
        <w:spacing w:before="120"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59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критериев и показателей</w:t>
      </w:r>
      <w:r w:rsidR="00FC3DAF" w:rsidRPr="00BF059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102DD0" w:rsidRPr="00BF0592">
        <w:rPr>
          <w:rFonts w:ascii="Times New Roman" w:hAnsi="Times New Roman"/>
          <w:color w:val="000000" w:themeColor="text1"/>
          <w:sz w:val="28"/>
          <w:szCs w:val="28"/>
        </w:rPr>
        <w:t>оценки профессиональной деятельности педагогического работника для установления соо</w:t>
      </w:r>
      <w:r w:rsidR="00102DD0" w:rsidRPr="00BF059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102DD0" w:rsidRPr="00BF0592">
        <w:rPr>
          <w:rFonts w:ascii="Times New Roman" w:hAnsi="Times New Roman"/>
          <w:color w:val="000000" w:themeColor="text1"/>
          <w:sz w:val="28"/>
          <w:szCs w:val="28"/>
        </w:rPr>
        <w:t xml:space="preserve">ветствия квалификационной категории (первой или высшей) по должности </w:t>
      </w:r>
      <w:r w:rsidR="006B151B" w:rsidRPr="00BF0592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02DD0" w:rsidRPr="00BF0592">
        <w:rPr>
          <w:rFonts w:ascii="Times New Roman" w:hAnsi="Times New Roman"/>
          <w:color w:val="000000" w:themeColor="text1"/>
          <w:sz w:val="28"/>
          <w:szCs w:val="28"/>
        </w:rPr>
        <w:t>учитель</w:t>
      </w:r>
      <w:r w:rsidR="006B151B" w:rsidRPr="00BF0592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02DD0" w:rsidRPr="00BF059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B151B" w:rsidRPr="00BF0592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02DD0" w:rsidRPr="00BF0592">
        <w:rPr>
          <w:rFonts w:ascii="Times New Roman" w:hAnsi="Times New Roman"/>
          <w:color w:val="000000" w:themeColor="text1"/>
          <w:sz w:val="28"/>
          <w:szCs w:val="28"/>
        </w:rPr>
        <w:t>инструктор по труду</w:t>
      </w:r>
      <w:r w:rsidR="006B151B" w:rsidRPr="00BF0592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02DD0" w:rsidRPr="00BF059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B151B" w:rsidRPr="00BF0592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02DD0" w:rsidRPr="00BF0592">
        <w:rPr>
          <w:rFonts w:ascii="Times New Roman" w:hAnsi="Times New Roman"/>
          <w:color w:val="000000" w:themeColor="text1"/>
          <w:sz w:val="28"/>
          <w:szCs w:val="28"/>
        </w:rPr>
        <w:t>преп</w:t>
      </w:r>
      <w:r w:rsidR="00102DD0" w:rsidRPr="00BF059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23D10">
        <w:rPr>
          <w:rFonts w:ascii="Times New Roman" w:hAnsi="Times New Roman"/>
          <w:color w:val="000000" w:themeColor="text1"/>
          <w:sz w:val="28"/>
          <w:szCs w:val="28"/>
        </w:rPr>
        <w:t>даватель-организатор по основам безопасности жизнедеятельности</w:t>
      </w:r>
      <w:r w:rsidR="006B151B" w:rsidRPr="00BF0592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02DD0" w:rsidRPr="00BF0592">
        <w:rPr>
          <w:rFonts w:ascii="Times New Roman" w:hAnsi="Times New Roman"/>
          <w:color w:val="000000" w:themeColor="text1"/>
          <w:sz w:val="28"/>
          <w:szCs w:val="28"/>
        </w:rPr>
        <w:t xml:space="preserve"> общеобразовательных </w:t>
      </w:r>
      <w:r w:rsidR="00FC3DAF" w:rsidRPr="00BF0592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</w:p>
    <w:p w:rsidR="009B3DF9" w:rsidRPr="007D21C2" w:rsidRDefault="009B3DF9" w:rsidP="009B3DF9">
      <w:pPr>
        <w:spacing w:before="60" w:after="60" w:line="200" w:lineRule="exact"/>
        <w:ind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B3DF9" w:rsidRPr="007D21C2" w:rsidRDefault="009B3DF9" w:rsidP="009B3DF9">
      <w:pPr>
        <w:spacing w:before="60" w:after="60" w:line="200" w:lineRule="exact"/>
        <w:ind w:firstLine="993"/>
        <w:jc w:val="both"/>
        <w:rPr>
          <w:color w:val="000000" w:themeColor="text1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205"/>
        <w:gridCol w:w="1134"/>
        <w:gridCol w:w="2041"/>
      </w:tblGrid>
      <w:tr w:rsidR="00BE5F73" w:rsidRPr="007D21C2" w:rsidTr="009C2409">
        <w:trPr>
          <w:tblHeader/>
          <w:jc w:val="center"/>
        </w:trPr>
        <w:tc>
          <w:tcPr>
            <w:tcW w:w="851" w:type="dxa"/>
            <w:vAlign w:val="center"/>
          </w:tcPr>
          <w:p w:rsidR="007D3C94" w:rsidRPr="007D21C2" w:rsidRDefault="007D3C94" w:rsidP="009C240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7D21C2">
              <w:rPr>
                <w:rFonts w:ascii="Times New Roman" w:hAnsi="Times New Roman"/>
                <w:bCs/>
                <w:iCs/>
                <w:color w:val="000000" w:themeColor="text1"/>
              </w:rPr>
              <w:t>№</w:t>
            </w:r>
            <w:r w:rsidR="009C2409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              </w:t>
            </w:r>
            <w:r w:rsidRPr="007D21C2">
              <w:rPr>
                <w:rFonts w:ascii="Times New Roman" w:hAnsi="Times New Roman"/>
                <w:bCs/>
                <w:iCs/>
                <w:color w:val="000000" w:themeColor="text1"/>
              </w:rPr>
              <w:t>п/п</w:t>
            </w:r>
          </w:p>
        </w:tc>
        <w:tc>
          <w:tcPr>
            <w:tcW w:w="10205" w:type="dxa"/>
            <w:vAlign w:val="center"/>
          </w:tcPr>
          <w:p w:rsidR="007D3C94" w:rsidRPr="007D21C2" w:rsidRDefault="007D3C94" w:rsidP="009C2409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7D21C2">
              <w:rPr>
                <w:rFonts w:ascii="Times New Roman" w:hAnsi="Times New Roman"/>
                <w:bCs/>
                <w:iCs/>
                <w:color w:val="000000" w:themeColor="text1"/>
              </w:rPr>
              <w:t>Критерии и показатели оценки</w:t>
            </w:r>
          </w:p>
        </w:tc>
        <w:tc>
          <w:tcPr>
            <w:tcW w:w="1134" w:type="dxa"/>
            <w:vAlign w:val="center"/>
          </w:tcPr>
          <w:p w:rsidR="007D3C94" w:rsidRPr="007D21C2" w:rsidRDefault="007D3C94" w:rsidP="009C240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7D21C2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Оценка в </w:t>
            </w:r>
            <w:proofErr w:type="gramStart"/>
            <w:r w:rsidRPr="007D21C2">
              <w:rPr>
                <w:rFonts w:ascii="Times New Roman" w:hAnsi="Times New Roman"/>
                <w:bCs/>
                <w:iCs/>
                <w:color w:val="000000" w:themeColor="text1"/>
              </w:rPr>
              <w:t>баллах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7D3C94" w:rsidRPr="007D21C2" w:rsidRDefault="007D3C94" w:rsidP="009C240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7D21C2">
              <w:rPr>
                <w:rFonts w:ascii="Times New Roman" w:hAnsi="Times New Roman"/>
                <w:bCs/>
                <w:iCs/>
                <w:color w:val="000000" w:themeColor="text1"/>
              </w:rPr>
              <w:t>Способ выведения оценки</w:t>
            </w:r>
          </w:p>
        </w:tc>
      </w:tr>
      <w:tr w:rsidR="009C2409" w:rsidRPr="007D21C2" w:rsidTr="009C2409">
        <w:trPr>
          <w:tblHeader/>
          <w:jc w:val="center"/>
        </w:trPr>
        <w:tc>
          <w:tcPr>
            <w:tcW w:w="851" w:type="dxa"/>
            <w:vAlign w:val="center"/>
          </w:tcPr>
          <w:p w:rsidR="00CB4CC6" w:rsidRPr="007D21C2" w:rsidRDefault="009C2409" w:rsidP="00CB4CC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0205" w:type="dxa"/>
            <w:vAlign w:val="center"/>
          </w:tcPr>
          <w:p w:rsidR="009C2409" w:rsidRPr="007D21C2" w:rsidRDefault="009C2409" w:rsidP="009C2409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9C2409" w:rsidRPr="007D21C2" w:rsidRDefault="009C2409" w:rsidP="009C240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</w:rPr>
              <w:t>3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9C2409" w:rsidRPr="007D21C2" w:rsidRDefault="009C2409" w:rsidP="009C240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</w:rPr>
              <w:t>4</w:t>
            </w:r>
          </w:p>
        </w:tc>
      </w:tr>
      <w:tr w:rsidR="009C2409" w:rsidRPr="007D21C2" w:rsidTr="007B2B6A">
        <w:trPr>
          <w:trHeight w:val="375"/>
          <w:jc w:val="center"/>
        </w:trPr>
        <w:tc>
          <w:tcPr>
            <w:tcW w:w="851" w:type="dxa"/>
          </w:tcPr>
          <w:p w:rsidR="009C2409" w:rsidRPr="009C2409" w:rsidRDefault="009C2409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</w:tcPr>
          <w:p w:rsidR="009C2409" w:rsidRPr="009C2409" w:rsidRDefault="009C2409" w:rsidP="009C2409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Критерий 1 "Результаты освоения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образовательных программ по итогам мониторингов, проводимых организ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цией"</w:t>
            </w:r>
          </w:p>
          <w:p w:rsidR="009C2409" w:rsidRPr="009C2409" w:rsidRDefault="009C2409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31</w:t>
            </w:r>
          </w:p>
        </w:tc>
      </w:tr>
      <w:tr w:rsidR="00BE5F73" w:rsidRPr="007D21C2" w:rsidTr="009C2409">
        <w:trPr>
          <w:trHeight w:val="375"/>
          <w:jc w:val="center"/>
        </w:trPr>
        <w:tc>
          <w:tcPr>
            <w:tcW w:w="851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"Динамика учебных достижений обучающихся"</w:t>
            </w:r>
          </w:p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34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75"/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spacing w:before="60"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освоивших ФГОС (ФК ГОС) по итогам года (по всем классам/группам за межаттестационный период):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Выбор одного из баллов</w:t>
            </w:r>
          </w:p>
        </w:tc>
      </w:tr>
      <w:tr w:rsidR="00BE5F73" w:rsidRPr="007D21C2" w:rsidTr="009C2409">
        <w:trPr>
          <w:trHeight w:val="30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spacing w:before="60"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 менее 100 %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65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- 100 %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52"/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годового значения среднего балла по предмету (на примере не менее трех кла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сов/групп (по каждому классу/группе отдельно) за три последовательных года, приходящихся на межаттестационный период, по выбору аттестуемого педагогического работника):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49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ниже среднего краевого показателя (по соответствующим типам и видам образовательных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49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9C2409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не ниже среднего </w:t>
            </w:r>
            <w:r w:rsidR="00655F0E"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краевого показателя (по соответствующим типам и видам образовательных </w:t>
            </w:r>
            <w:r w:rsidR="00655F0E"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49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выше среднего  краевого показателя (по соответствующим типам и видам образовательных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480"/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Динамика качества подготовки обучающихся (выпускников) по предмету (доля обучающихся (выпускников) (в %), получивших отметки "4" и "5" по итогам учебного года) (на примере не менее трех классов/групп (по каждому классу/группе отдельно)</w:t>
            </w:r>
            <w:r w:rsidR="007D4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три последовательных года, приходящихся на межаттестационный период, по выбору аттестуемого педагогического рабо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ника):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47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показатель не раскрыт или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отрицательная динамика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4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качество с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табильное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132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оложительная динамика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525"/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1.1.4.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творческих, исследовательских, проектных работ обучающихся по предмету (напра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лению деятельности), осуществляемых под руководством педагогического работника: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333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131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стабильность количества таких работ или стабильность количества обучающихся, участву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щих в их создании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51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стабильность количества таких работ и стабильность количества обучающихся, участвующих в их создании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97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стабильность количества таких работ и 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положительная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динамика количества обучающихся, участвующих в создании таких работ, или 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положительная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динамика количества таких работ и стабильность количества обучающихся, участвующих в создании таких работ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555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положительная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динамика количества таких работ и 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положительная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динамика количества об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чающихся, участвующих в создании таких работ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1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1.1.5.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выпускников, имеющих высокие достижения в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обучении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300"/>
          <w:jc w:val="center"/>
        </w:trPr>
        <w:tc>
          <w:tcPr>
            <w:tcW w:w="851" w:type="dxa"/>
            <w:vMerge/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30"/>
          <w:jc w:val="center"/>
        </w:trPr>
        <w:tc>
          <w:tcPr>
            <w:tcW w:w="851" w:type="dxa"/>
            <w:vMerge/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наличие обучающихся, получивших грамоту "За особые успехи в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изучении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отдельных  пре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метов"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55"/>
          <w:jc w:val="center"/>
        </w:trPr>
        <w:tc>
          <w:tcPr>
            <w:tcW w:w="851" w:type="dxa"/>
            <w:vMerge/>
            <w:shd w:val="clear" w:color="auto" w:fill="F2DBDB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наличие обучающихся, набравших по результатам итоговой аттестации по предмету в форме ЕГЭ 80 и более баллов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15"/>
          <w:jc w:val="center"/>
        </w:trPr>
        <w:tc>
          <w:tcPr>
            <w:tcW w:w="851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"Результаты деятельности педагогического работника в области социализации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чающихся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  <w:p w:rsidR="00655F0E" w:rsidRPr="009C2409" w:rsidRDefault="00655F0E" w:rsidP="009C2409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15"/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Создает условия для социализации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315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42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42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мероприятия в системе в соответствии с планом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42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мероприятия в системе в соответствии с планом работы, используя разнообразные, в том числе инновационные, формы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37"/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участвуют в самоуправлении в пределах возрастных компетенций: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29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4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деятельность определяют педагог и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совместно (</w:t>
            </w:r>
            <w:proofErr w:type="spell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соуправление</w:t>
            </w:r>
            <w:proofErr w:type="spell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54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деятельность определяется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самостоятельно, педагог оказывает консультати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ную помощь (самоуправление)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480"/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 которыми работает педагогический работник, регулярно участвуют в социал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но-значимых делах, социально-образовательных проектах: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85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51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7D41A0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</w:t>
            </w:r>
            <w:r w:rsidR="00655F0E"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="00655F0E"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655F0E"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%), вовлеченных в социально-значимые дела, социально-образовательные проекты, не менее 15 %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51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7D41A0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</w:t>
            </w:r>
            <w:r w:rsidR="00655F0E"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="00655F0E"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655F0E"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%), вовлеченных в социально-значимые дела, социально-образовательные проекты, не менее 25 %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57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инициируют и организуют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социально-значимую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465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меют положительные отзывы, благодарственные письма о проведенных мероприятиях на уровне 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465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меют положительные отзывы, благодарственные письма о проведенных мероприятиях на м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ниципальном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30"/>
          <w:jc w:val="center"/>
        </w:trPr>
        <w:tc>
          <w:tcPr>
            <w:tcW w:w="851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"Познавательная активность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предмету (направлению деятельн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сти)"</w:t>
            </w:r>
          </w:p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30"/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Педагогический работник организует внеурочную деятельность по предмету (направлению де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тельности):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21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38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37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мероприятия в системе в соответствии планом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37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мероприятия в системе в соответствии с планом работы, используя разнообразные, в том числе инновационные, формы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555"/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Охват 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%) внеурочной деятельностью по предмету (направлению деятельности) составляет: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24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0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15 %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405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25 %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495"/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Динамика доли обучающихся (в %), занимающихся в предметных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кружках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секциях, факульт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тивах, которыми руководит педагогический работник: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24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показатель не раскрыт или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отрицательная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55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стабильная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6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положительная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690"/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Динамика доли обучающихся (в %), с которыми работает педагогический работник, занима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 в предметной секции научного общества учащихся (малой академии) по профилю преп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даваемого предмета (направлению деятельности) педагогического работника: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195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показатель не раскрыт или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отрицательная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25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стабильная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42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480"/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мотивации  к изучению предмета (деятельности по направлению) (по результатам ди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гностики):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27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показатель не раскрыт или средний и высокий уровень - менее 70 %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95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средний и высокий уровень – не менее 70 %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85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средний и высокий уровень – не менее 90 %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76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1.3.6.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выпускников, поступивших  в учреждения среднего и высшего профессионального 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разования по профилю преподаваемого предмета (направлению деятельности):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Выбор одного из баллов</w:t>
            </w:r>
          </w:p>
        </w:tc>
      </w:tr>
      <w:tr w:rsidR="00BE5F73" w:rsidRPr="007D21C2" w:rsidTr="009C2409">
        <w:trPr>
          <w:trHeight w:val="280"/>
          <w:jc w:val="center"/>
        </w:trPr>
        <w:tc>
          <w:tcPr>
            <w:tcW w:w="851" w:type="dxa"/>
            <w:vMerge/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00"/>
          <w:jc w:val="center"/>
        </w:trPr>
        <w:tc>
          <w:tcPr>
            <w:tcW w:w="851" w:type="dxa"/>
            <w:vMerge/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2-х выпускников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9C2409" w:rsidRPr="007D21C2" w:rsidTr="00104789">
        <w:trPr>
          <w:trHeight w:val="205"/>
          <w:jc w:val="center"/>
        </w:trPr>
        <w:tc>
          <w:tcPr>
            <w:tcW w:w="851" w:type="dxa"/>
          </w:tcPr>
          <w:p w:rsidR="009C2409" w:rsidRPr="009C2409" w:rsidRDefault="009C2409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2409" w:rsidRPr="009C2409" w:rsidRDefault="009C2409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Критерий 2 " Результаты освоения обучающимися образовательных программ по итогам мониторинга системы образования, проводимого в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порядке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установленном постановлением Правительства Российской Федерации от 5 августа 2013 г. № 662"</w:t>
            </w:r>
          </w:p>
          <w:p w:rsidR="009C2409" w:rsidRPr="009C2409" w:rsidRDefault="009C2409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–15</w:t>
            </w:r>
          </w:p>
        </w:tc>
      </w:tr>
      <w:tr w:rsidR="00BE5F73" w:rsidRPr="007D21C2" w:rsidTr="009C2409">
        <w:trPr>
          <w:trHeight w:val="205"/>
          <w:jc w:val="center"/>
        </w:trPr>
        <w:tc>
          <w:tcPr>
            <w:tcW w:w="851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"Результаты мониторинга соответствия учебных достижений обучающихся 4-х классов требованиям ФГОС (ФК ГОС), государственной итоговой аттестации в форме основн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государственного экзамена (ОГЭ) выпускников 9-х классов, единого государственного экз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мена (ЕГЭ) выпускников 11-х классов, государственного выпускного экзамена (ГВЭ) выпускн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 10-х, 12-х классов, прошедших обучение по адаптивным образовательным программам"</w:t>
            </w:r>
          </w:p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5"/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обучающихся 4-х классов (в %), достигших базового уровня (справившихся с выполнением заданий базового уровня) по результатам мониторинга соответствия учебных достижений об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чающихся требованиям ФГОС (ФК ГОС) (по всем учебным предметам, подлежащим монит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рингу) или доля выпускников 9-х, 11-х классов (в %), получивших положительные отметки или преодолевших "минимальный порог" по результатам государственной итоговой аттестации в форме ОГЭ, ЕГЭ (по всем выпускным классам за межаттестационный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период), или доля в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пускников 10-х, 12-х классов (в %), прошедших обучение по адаптивным образовательным пр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граммам, получивших положительные отметки  по результатам государственной итоговой атт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стации в форме ГВЭ (по всем выпускным классам за межаттестационный период):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505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показатель не раскрыт или ниже среднего показателя в муниципальном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образовании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 средн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краевого показателя (по соответствующим типам и видам ОУ)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465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не ниже  среднего показателя в муниципальном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образовании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среднего краевого показателя (по соответствующим типам и видам ОУ)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15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превышает средний показатель в муниципальном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образовании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средний краевой показатель (по соответствующим типам и видам ОУ)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15"/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Успешность выполнения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4-х классов итоговых работ (средний % от максимал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балла за всю работу) по результатам мониторинга соответствия учебных достижений об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чающихся требованиям ФГОС (ФК ГОС) (по всем учебным предметам, подлежащим монит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рингу) </w:t>
            </w:r>
          </w:p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или средний оценочный балл по результатам государственной итоговой аттестации выпускников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9-х классов в форме ОГЭ (по всем выпускным классам за межаттестационный период) </w:t>
            </w:r>
          </w:p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или средний тестовый балл по результатам государственной итоговой аттестации выпускников 11-х классов в форме ЕГЭ (по всем выпускным классам за межаттестационный период) </w:t>
            </w:r>
          </w:p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 средний оценочный балл по результатам государственной итоговой аттестации выпускников 10-х, 12-х классов, прошедших обучение по адаптивным образовательным программам, в форме ГВЭ (по всем выпускным классам за межаттестационный период):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315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показатель не раскрыт или ниже среднего показателя в муниципальном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образовании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 средн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краевого показателя (по соответствующим типам и видам образовательных организаций)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15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не ниже среднего показателя в муниципальном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образовании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среднего краевого показателя (по соответствующим типам и видам образовательных организаций)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566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превышает средний показатель в муниципальном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образовании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средний краевой показатель (по соответствующим типам и видам образовательных организаций)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75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2.1.3.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Распределение обучающихся 4-х классов (в %) по уровням достижений (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низкий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пониженный, базовый, повышенный, высокий) при выполнении итоговых работ по результатам мониторинга соответствия учебных достижений обучающихся требованиям ФГОС (ФК ГОС) (по всем уче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предметам, подлежащим мониторингу):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77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низкий и пониженный уровни превышают показатель в муниц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пальном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77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базовый уровень не ниже показателя в муниципальном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8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89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высокий уровни не ниже показателя 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66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повышенный и высокий уровни превышают показатель в муниципальном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8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31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508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подготовки выпускников 9-х классов по результатам государственной итоговой атт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стации в форме ОГЭ (доля выпускников (в %), сдававших ОГЭ и получивших отметки "4" и "5")  (по всем выпускным классам за межаттестационный период):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458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показатель не раскрыт или ниже среднего показателя в муниципальном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образовании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среднего краевого показателя (по соответствующим типам и видам образовательных организаций)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8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8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458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не ниже среднего показателя в муниципальном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образовании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среднего краевого показателя (по соответствующим типам и видам образовательных организаций)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481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превышает средний показатель в муниципальном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образовании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средний краевой показатель (по соответствующим типам и видам образовательных организаций)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8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457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12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Распределение выпускников 11-х классов (в %), сдававших ЕГЭ, по диапазонам тестовых баллов (по всем выпускным классам за межаттестационный период):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11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показатель не раскрыт или по диапазону "ниже минимального порога" превышает показатель в муниципальном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11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 диапазону "от минимального порога до 55 баллов" не выше показателя в муниципальном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43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 диапазону "55 – 79 баллов" соответствует или выше показателя в муниципальном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43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 диапазону "80 – 100 баллов" соответствует или выше показателя в муниципальном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43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43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подготовки выпускников 10-х, 12-х классов, прошедших обучение по адаптивным 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разовательным программам, по результатам итоговой аттестации в форме государственного в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пускного экзамена (доля выпускников (в %), сдававших государственный выпускной экзамен и получивших отметки "4" и "5")  (по всем выпускным классам за межаттестационный период):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43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ниже среднего краевого показателя (по соответствующим типам и видам образовательных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43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 краевого показателя (по соответствующим типам и видам образовательных учреждений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76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превышает средний краевой показатель (по соответствующим типам и видам образовательных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8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jc w:val="center"/>
        </w:trPr>
        <w:tc>
          <w:tcPr>
            <w:tcW w:w="851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0205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Показатель "Использование результатов мониторингов в работе"</w:t>
            </w:r>
          </w:p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–3</w:t>
            </w:r>
          </w:p>
        </w:tc>
        <w:tc>
          <w:tcPr>
            <w:tcW w:w="1134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2.2.1.</w:t>
            </w:r>
          </w:p>
        </w:tc>
        <w:tc>
          <w:tcPr>
            <w:tcW w:w="10205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Использует результаты мониторингов для планирования и коррекции образовательного проце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са:</w:t>
            </w:r>
          </w:p>
        </w:tc>
        <w:tc>
          <w:tcPr>
            <w:tcW w:w="1134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показатель не раскрыт</w:t>
            </w:r>
          </w:p>
        </w:tc>
        <w:tc>
          <w:tcPr>
            <w:tcW w:w="1134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E5F73" w:rsidRPr="007D21C2" w:rsidTr="009C2409">
        <w:trPr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анализирует и обобщает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результаты мониторингов, принимает решения  по коррекции образ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вательного процесса</w:t>
            </w:r>
          </w:p>
        </w:tc>
        <w:tc>
          <w:tcPr>
            <w:tcW w:w="1134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E5F73" w:rsidRPr="007D21C2" w:rsidTr="009C2409">
        <w:trPr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планирует и организует индивидуальную работу с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 результатам монитори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гов</w:t>
            </w:r>
          </w:p>
        </w:tc>
        <w:tc>
          <w:tcPr>
            <w:tcW w:w="1134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E5F73" w:rsidRPr="007D21C2" w:rsidTr="009C2409">
        <w:trPr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взаимодействует с родителями, коллегами по ликвидации пробелов обучающихся, с целью д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стижения более высоких результатов учебных достижений</w:t>
            </w:r>
          </w:p>
        </w:tc>
        <w:tc>
          <w:tcPr>
            <w:tcW w:w="1134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C2409" w:rsidRPr="007D21C2" w:rsidTr="00633D61">
        <w:trPr>
          <w:trHeight w:val="55"/>
          <w:jc w:val="center"/>
        </w:trPr>
        <w:tc>
          <w:tcPr>
            <w:tcW w:w="851" w:type="dxa"/>
          </w:tcPr>
          <w:p w:rsidR="009C2409" w:rsidRPr="009C2409" w:rsidRDefault="009C2409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</w:tcPr>
          <w:p w:rsidR="009C2409" w:rsidRPr="009C2409" w:rsidRDefault="009C2409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Критерий 3 "Выявление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гических работников связана с направлениями педагогической работы, по которым такие мероприятия проводятся)"</w:t>
            </w:r>
            <w:proofErr w:type="gramEnd"/>
          </w:p>
          <w:p w:rsidR="009C2409" w:rsidRPr="009C2409" w:rsidRDefault="009C2409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24</w:t>
            </w:r>
          </w:p>
        </w:tc>
      </w:tr>
      <w:tr w:rsidR="00BE5F73" w:rsidRPr="007D21C2" w:rsidTr="009C2409">
        <w:trPr>
          <w:trHeight w:val="55"/>
          <w:jc w:val="center"/>
        </w:trPr>
        <w:tc>
          <w:tcPr>
            <w:tcW w:w="851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"Выявление и развитие способностей обучающихся к научной (интеллектуальной), творческой, физкультурно-спортивной деятельности"</w:t>
            </w:r>
          </w:p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55"/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Организует работу с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имеющими способности к научной (интеллектуальной), творческой, физкультурно-спортивной деятельности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52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52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разрабатывает и применяет механизмы выявления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таких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52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создаёт условия для развития индивидуальных способностей, реализации интересов и потре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ностей обучающихся в образовательном процессе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52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разрабатывает и реализует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индивидуальные "маршруты" обучения, в том числе с учётом  р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зультатов школьного, муниципального, краевого мониторингов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52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разрабатывает механизмы учета индивидуальных достижений обучающихся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5"/>
          <w:jc w:val="center"/>
        </w:trPr>
        <w:tc>
          <w:tcPr>
            <w:tcW w:w="851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0205" w:type="dxa"/>
            <w:tcBorders>
              <w:top w:val="nil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"Результаты участия обучающихся в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олимпиадах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конкурсах, фестивалях, соревн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ваниях и других мероприятиях"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2A"/>
            </w:r>
          </w:p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35"/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10205" w:type="dxa"/>
            <w:tcBorders>
              <w:top w:val="nil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участников, призёров, победителей Всероссийской олимпиады школьников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м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нимальном стаже работы учителя с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 года):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(при </w:t>
            </w:r>
            <w:proofErr w:type="gramStart"/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наличии</w:t>
            </w:r>
            <w:proofErr w:type="gramEnd"/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д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стижений в олимпиаде по одному предм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ту)</w:t>
            </w:r>
          </w:p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и</w:t>
            </w:r>
          </w:p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суммирование 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(при </w:t>
            </w:r>
            <w:proofErr w:type="gramStart"/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наличии</w:t>
            </w:r>
            <w:proofErr w:type="gramEnd"/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д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стижений в олимпиаде по нескольким предметам)</w:t>
            </w:r>
          </w:p>
        </w:tc>
      </w:tr>
      <w:tr w:rsidR="00BE5F73" w:rsidRPr="007D21C2" w:rsidTr="009C2409">
        <w:trPr>
          <w:trHeight w:val="28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8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победители </w:t>
            </w: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уровня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образовательной организации, участники муниципального уровня (не менее 3-х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8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призёры муниципального уровня (не менее 3-х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8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победители муниципального уровня (не менее 3-х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8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участники краевого уровня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8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призёры краевого уровня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8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победители краевого уровня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8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участники федерального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8"/>
          <w:jc w:val="center"/>
        </w:trPr>
        <w:tc>
          <w:tcPr>
            <w:tcW w:w="851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призёры федерального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8"/>
          <w:jc w:val="center"/>
        </w:trPr>
        <w:tc>
          <w:tcPr>
            <w:tcW w:w="851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победители федерального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8"/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3.2.2.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участников, призёров, победителей олимпиад, конкурсов, фестивалей, соревнований, выставок, сетевых проектов и других мероприятий по предмету, участие в которых осуществл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лось под руководством педагогического работника (кроме Всероссийской олимпиады школьн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8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8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участники муниципального уровня (не менее 5-и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8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призёры муниципального уровня (не менее 5-и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8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победители муниципального уровня (не менее 5-и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8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участники краевого уровня (не менее 3-х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8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призёры краевого уровня (не менее 3-х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8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победители краевого уровня (не менее 3-х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5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участники федерального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520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призёры федерального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520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победители федерального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2409" w:rsidRPr="007D21C2" w:rsidTr="007833D8">
        <w:trPr>
          <w:trHeight w:val="20"/>
          <w:jc w:val="center"/>
        </w:trPr>
        <w:tc>
          <w:tcPr>
            <w:tcW w:w="851" w:type="dxa"/>
          </w:tcPr>
          <w:p w:rsidR="009C2409" w:rsidRPr="009C2409" w:rsidRDefault="009C2409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2409" w:rsidRPr="009C2409" w:rsidRDefault="009C2409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Критерий 4 "Личный вклад педагогического работника в повышение качества образования, совершенствование методов об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чения и воспитания, продуктивное использование новых образовательных технологий, транслирование в педагогических ко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лективах опыта практических результатов своей профессиональной деятельности, в том числе экспериментальной и инновац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онной"</w:t>
            </w:r>
            <w:proofErr w:type="gramEnd"/>
          </w:p>
          <w:p w:rsidR="009C2409" w:rsidRPr="009C2409" w:rsidRDefault="009C2409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67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"Продуктивное использование новых образовательных технологий, включая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мационные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 также цифровых образовательных ресурсов и средств"</w:t>
            </w:r>
          </w:p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Максимальное количество баллов –14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Совершенствует и развивает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методы и средства обучения и воспитания: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обосновывает целесообразность проводимых усовершенствований с учетом целей и задач об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чения и воспитания, используемой программы, условий образовательной деятельности, запросов обучающихся и родителей,  раскрывает их суть и результаты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Продуктивно использует новые образовательные технологии: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использования в собственной практике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боснованно с учетом целей и задач обучения и воспитания, используемой программы выбир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ет новые образовательные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владеет новыми образовательными технологиями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уровне отдельных элементов,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комбинации отдельн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ых элементов разных технологий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владеет новыми образовательными технологиями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 уровне целостной системы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формирует диагностический инструментарий для оценки продуктивности использования н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вых образовательных технологий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отслеживает продуктивность использования новых образовательных технологий с применен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ем диагностического инструментария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Использует информационно-коммуникационные технологии в образовательном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процессе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спользует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ладеет навыками работы с электронной почтой, сетью "Интернет", на форумах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ладеет навыками работы с интерактивной доской, регулярно использует обучающие пр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граммы, цифровые образовательные ресурсы и средства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4.1.4.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Создает </w:t>
            </w:r>
            <w:proofErr w:type="spell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здоровьесберегающую</w:t>
            </w:r>
            <w:proofErr w:type="spell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среду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создает условия для рационального сочетания труда и отдыха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образовательном процессе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pStyle w:val="1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создает психологически комфортные условия в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процессе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655F0E" w:rsidRPr="009C2409" w:rsidRDefault="00655F0E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формирует у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мотивацию к здоровому образу жизни, культуру здоровья, питания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655F0E" w:rsidRPr="009C2409" w:rsidRDefault="00655F0E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"Система индивидуальной работы с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  <w:p w:rsidR="00EB1E7A" w:rsidRPr="009C2409" w:rsidRDefault="00EB1E7A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Организует  индивидуальную работу с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имеющими затруднения в обучении и развитии: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выявляет причины затруднений в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обучении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развитии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разрабатывает и реализует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индивидуальные "маршруты" обучения, в том числе с учётом  р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зультатов школьного, муниципального, краевого мониторингов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положительную динамику учебных достижений обучающихся, имеющих затру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нения в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обучении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развитии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Организует дистанционное обучение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проводит дистанционное консультирование в разных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участвует в реализации проектов "Дистанционное обучение детей-инвалидов в Хабаровском крае", "Дистанционное обучение школьников" в качестве: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педагога-предметника (</w:t>
            </w:r>
            <w:proofErr w:type="spell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тьютора</w:t>
            </w:r>
            <w:proofErr w:type="spell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сетевого педагога (до 2-х лет)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сетевого педагога (свыше 2-х лет)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"Участие в экспериментальной, инновационной деятельности"</w:t>
            </w:r>
          </w:p>
          <w:p w:rsidR="00EB1E7A" w:rsidRPr="009C2409" w:rsidRDefault="00EB1E7A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 или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Участвует в</w:t>
            </w:r>
            <w:r w:rsidR="007D41A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одной из форм инновационного поиска: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 или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 опытно-экспериментальной или научно-исследовательской работе 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в реализации собственного проекта, прошедшего конкурс на присвоение статуса "педагог-исследователь" в инновационной инфраструктуре в сфере образования Хабаровского края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 реализации проекта образовательной организации, прошедшего конкурс на присвоение ст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туса "научно-исследовательская лаборатория", "</w:t>
            </w:r>
            <w:proofErr w:type="spell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апробационная</w:t>
            </w:r>
            <w:proofErr w:type="spell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площадка", "инновационная площадка", "центр трансфера технологий", "центр компетенций", "инновационный комплекс"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"Транслирование опыта практических результатов профессиональной деятельности, в том числе экспериментальной и инновационной"</w:t>
            </w:r>
          </w:p>
          <w:p w:rsidR="00EB1E7A" w:rsidRPr="009C2409" w:rsidRDefault="00EB1E7A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Опыт работы внесен в банк данных педагогического опыта: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Участвует в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мероприятиях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распространению опыта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практических результатов професси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нальной деятельности (регулярно проводит мастер-классы, тренинги, стендовые защиты, выст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пает с докладами на семи</w:t>
            </w:r>
            <w:r w:rsidR="009C2409"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нарах, </w:t>
            </w:r>
            <w:proofErr w:type="spellStart"/>
            <w:r w:rsidR="009C2409"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вебинарах</w:t>
            </w:r>
            <w:proofErr w:type="spellEnd"/>
            <w:r w:rsidR="009C2409"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конференциях,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педагогических чтениях):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Распространяет опыт практических результатов профессиональной деятельности в системе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дагогического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образования, переподготовки и повышения квалификации педагогических ка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9C2409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является руководителем педагогической практики студентов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9C2409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C2409">
              <w:rPr>
                <w:rFonts w:ascii="Times New Roman" w:hAnsi="Times New Roman"/>
                <w:sz w:val="24"/>
                <w:szCs w:val="24"/>
              </w:rPr>
              <w:t>является внештатным лектором образовательных организаций, осуществляющих обучение, п</w:t>
            </w:r>
            <w:r w:rsidRPr="009C2409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409">
              <w:rPr>
                <w:rFonts w:ascii="Times New Roman" w:hAnsi="Times New Roman"/>
                <w:sz w:val="24"/>
                <w:szCs w:val="24"/>
              </w:rPr>
              <w:t>реподготовку и повышение квалификации кадров по профилю деятельности аттестуемого пед</w:t>
            </w:r>
            <w:r w:rsidRPr="009C2409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409">
              <w:rPr>
                <w:rFonts w:ascii="Times New Roman" w:hAnsi="Times New Roman"/>
                <w:sz w:val="24"/>
                <w:szCs w:val="24"/>
              </w:rPr>
              <w:t>гога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4.4.4.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научно-методических публикаций по проблемам образования и воспитания обуча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щихся, имеющих соответствующий гриф и выходные данные: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Непрерывность образования педагогического работника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EB1E7A" w:rsidRPr="009C2409" w:rsidRDefault="00EB1E7A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Повышает квалификацию и проходит обучение в различных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формах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 дополнительным профессиональным образовательным программам по профилю преподав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емого предмета (направл</w:t>
            </w:r>
            <w:r w:rsidR="009C2409"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ению деятельности), включающим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общетеоретический и предметно-технологический блоки, в объеме не менее 108 часов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стажировки, семинары, </w:t>
            </w:r>
            <w:proofErr w:type="spell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вебинары</w:t>
            </w:r>
            <w:proofErr w:type="spell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объеме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менее 48 часов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самообразование, включая участие в профессиональных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конференциях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круглых столах, 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тернет-форумах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Признание профессиональным сообществом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высокой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квалификации педагогическ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работника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4.6.1.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Участвует в деятельности аттестационных, экспертных комиссий, жюри, в судействе соревнов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уровня 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4.7.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"Награды и поощрения педагогического работника за личный вклад в повышение качества образования, успехи в профессиональной деятельности"</w:t>
            </w:r>
          </w:p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Максимальное количество баллов – 9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4.7.1.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Имеет в межаттестационный период грамоты, поощрения, благодарственные письма по проф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 работы: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2409" w:rsidRPr="007D21C2" w:rsidTr="00D7067E">
        <w:trPr>
          <w:trHeight w:val="20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9C2409" w:rsidRPr="009C2409" w:rsidRDefault="009C2409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2409" w:rsidRPr="009C2409" w:rsidRDefault="009C2409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Критерий 5 "Активное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конкурсах"</w:t>
            </w:r>
          </w:p>
          <w:p w:rsidR="009C2409" w:rsidRPr="009C2409" w:rsidRDefault="009C2409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– 41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Методическая работа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проявляет активность в работе методических советов, объединений, педагогических советов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руководит деятельностью методических объединений, советов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проявляет активность в работе методических советов, объединений муниципального уровня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 наставником молодых педагогов: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единичные мероприятия по наставничеству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наставничество носит плановый и регулярный характер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разработке программно-методического сопровождения образовательного процесса"</w:t>
            </w:r>
          </w:p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Максимальное количество баллов –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5.2.1.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Разрабатывает и обосновывает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рабочую образовательную программу: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представлена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рабочая образовательная программа, но без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обоснования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в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условиями применения, целями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образовательными запросами родителей,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обучающихся с особыми образов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тельными потребностями (одаренных, имеющих проблемы в состоянии здоровья, развитии)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5.2.2.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Разрабатывает продукты педагогической деятельности (программные, методические, дидакт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ческие материалы), прошедшие внешнюю экспертизу: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"Участие в профессиональных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конкурсах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EB1E7A" w:rsidRPr="009C2409" w:rsidRDefault="00EB1E7A" w:rsidP="009C2409">
            <w:pPr>
              <w:widowControl w:val="0"/>
              <w:spacing w:before="60" w:after="0" w:line="240" w:lineRule="exac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Участвует в заочных/дистанционных конкурсах (по использованию ИКТ; инновационных, м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тодических разработок; публикаций; педагогических инициатив) для педагогических работн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ков: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Участвует в конкурсах профессионального мастерства "Учитель года", "Учитель года – побед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тель ПНПО", "Преподаватель-организатор ОБЖ", "Учитель родного языка", "Мастер года", "Преподаватель года", "Воспитатель года", "Педагог-психолог года", "Сердце отдаю детям", "Самый классный </w:t>
            </w:r>
            <w:proofErr w:type="spellStart"/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Поглощение (при </w:t>
            </w:r>
            <w:proofErr w:type="gramStart"/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участии</w:t>
            </w:r>
            <w:proofErr w:type="gramEnd"/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в одном конкурсе)</w:t>
            </w:r>
          </w:p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или</w:t>
            </w:r>
          </w:p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суммирование (при </w:t>
            </w:r>
            <w:proofErr w:type="gramStart"/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участии</w:t>
            </w:r>
            <w:proofErr w:type="gramEnd"/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в разных конку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сах)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показатель не раскрыт или не участвует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является призёром конкурса в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является победителем конкурса в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является участником муниципального этапа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является призёром муниципального этапа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является победителем муниципального этапа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является участником краевого этапа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является призёром краевого этапа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2409" w:rsidRPr="007D21C2" w:rsidTr="00B33835">
        <w:trPr>
          <w:trHeight w:val="20"/>
          <w:jc w:val="center"/>
        </w:trPr>
        <w:tc>
          <w:tcPr>
            <w:tcW w:w="851" w:type="dxa"/>
          </w:tcPr>
          <w:p w:rsidR="009C2409" w:rsidRPr="009C2409" w:rsidRDefault="009C2409" w:rsidP="009C2409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2409" w:rsidRPr="009C2409" w:rsidRDefault="009C2409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Критерий 6 "Личностные и профессиональные качества педагогического работника"</w:t>
            </w:r>
          </w:p>
          <w:p w:rsidR="009C2409" w:rsidRPr="009C2409" w:rsidRDefault="009C2409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- 10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Профессиональная культура педагогического работника"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результатам диагн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стики)</w:t>
            </w:r>
          </w:p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Уровень </w:t>
            </w:r>
            <w:proofErr w:type="spell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эмпатии</w:t>
            </w:r>
            <w:proofErr w:type="spell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высокий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толерантности в отношениях: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Уровень проявления конфликтности в отношениях: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показатель не раскрыт или имеет высокий уровень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средний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низкий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6.1.4.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обучающихся, родителей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организацией и содержанием образовательного процесса по предмету (направлению деятельности), организуемого аттестуемым педагогическим работником: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менее 70 %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обучающихся, родителей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70 %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обучающихся, родителей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90 %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обучающихся, родителей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Показатель "Социальная активность педагогического работника, участие в </w:t>
            </w:r>
            <w:proofErr w:type="gramStart"/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решении</w:t>
            </w:r>
            <w:proofErr w:type="gramEnd"/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обществе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ных проблем"</w:t>
            </w:r>
          </w:p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Максимальное количество баллов –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6.2.1.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Участвует в деятельности органов государственно-общественного управления образовательной организации, местного самоуправления, общественных организаций, объединений, волонте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тельной комиссии, общественной палаты)</w:t>
            </w:r>
            <w:r w:rsidRPr="009C24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должна быть связана с соответству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щими направлениями работы):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2409" w:rsidRPr="007D21C2" w:rsidTr="0022505E">
        <w:trPr>
          <w:trHeight w:val="20"/>
          <w:jc w:val="center"/>
        </w:trPr>
        <w:tc>
          <w:tcPr>
            <w:tcW w:w="851" w:type="dxa"/>
          </w:tcPr>
          <w:p w:rsidR="009C2409" w:rsidRPr="009C2409" w:rsidRDefault="009C2409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2409" w:rsidRPr="009C2409" w:rsidRDefault="009C2409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Критерий 7 "Профессиональная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питательном, методическом и других мероприятиях)"</w:t>
            </w:r>
          </w:p>
          <w:p w:rsidR="009C2409" w:rsidRPr="009C2409" w:rsidRDefault="009C2409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70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Знания педагогического работника в области государственной образовательной п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литики, педагогики, психологии, методики преподавания и содержания предмета (направления деятельности)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EB1E7A" w:rsidRPr="009C2409" w:rsidRDefault="00EB1E7A" w:rsidP="009C2409">
            <w:pPr>
              <w:widowControl w:val="0"/>
              <w:tabs>
                <w:tab w:val="left" w:pos="0"/>
              </w:tabs>
              <w:spacing w:before="60" w:after="0" w:line="240" w:lineRule="exact"/>
              <w:ind w:hanging="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 – 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квалификационного экзамена (удостоверение представляется педагогическим р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ботником, прошедшим квалификационный экзамен с 01 сентября 2013 г. по 30 мая 2014 г.):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60 % от максимально возможной суммы баллов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80 % от максимально возможной суммы баллов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04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Постановка педагогических задач при реализации образовательной программы на уроке/учебном занятии (на примере конспекта урока/учебного занятия)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EB1E7A" w:rsidRPr="009C2409" w:rsidRDefault="00EB1E7A" w:rsidP="009C2409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  <w:p w:rsidR="00EB1E7A" w:rsidRPr="009C2409" w:rsidRDefault="00EB1E7A" w:rsidP="009C2409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баллов – показатель не раскрыт</w:t>
            </w:r>
          </w:p>
          <w:p w:rsidR="00EB1E7A" w:rsidRPr="009C2409" w:rsidRDefault="00EB1E7A" w:rsidP="009C2409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EB1E7A" w:rsidRPr="009C2409" w:rsidRDefault="00EB1E7A" w:rsidP="009C2409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7.2.1.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Педагог при подготовке к уроку/учебному занятию: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ставит цели, направленные на ожидаемый и диагностируемый результат обучения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представляет задачи урока/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учебного занятия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как систему действий педагога по достижению цели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планирует постановку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цели обучения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ставит задачи, структурирующие и организующие деятельность обучающихся на каждом из этапов урока/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учебного занятия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 вводном, основном, обобщающем и заключительном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планирует использование методических приемов, заданий, направленных на мотивирование обучающихся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Компетентность педагогического работника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реализации образовательной пр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граммы 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на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уроке/учебном занятии (на примере видеозаписи урока/учебного занятия)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EB1E7A" w:rsidRPr="009C2409" w:rsidRDefault="00EB1E7A" w:rsidP="009C2409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–25</w:t>
            </w:r>
          </w:p>
          <w:p w:rsidR="00EB1E7A" w:rsidRPr="009C2409" w:rsidRDefault="00EB1E7A" w:rsidP="009C2409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баллов – показатель не раскрыт</w:t>
            </w:r>
          </w:p>
          <w:p w:rsidR="00EB1E7A" w:rsidRPr="009C2409" w:rsidRDefault="00EB1E7A" w:rsidP="009C2409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EB1E7A" w:rsidRPr="009C2409" w:rsidRDefault="00EB1E7A" w:rsidP="009C2409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Компетентность педагога в области постановки цели и задач урока: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умеет вывести обучающихся на значимую и привлекательную для них цель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поставленные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цели направлены на диагностируемый результат обучения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обсуждает с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план действий по реализации цели урока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демонстрирует реализацию цели  в  этапах урока как систему действий учителя и обучающихся по ее достижению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обсуждает с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критерии, позволяющие им самостоятельно оценить качество п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лученных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Компетентность педагога в области мотивирования </w:t>
            </w:r>
            <w:proofErr w:type="gramStart"/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предлагает задания, способствующие актуализации личностного опыта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предлагает задания, способствующие пониманию ограниченности имеющихся у обучающихся знаний и умений для решения поставленной задачи или учебной проблемы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демонстрирует знание приемов и методов, направленных на формирование интереса обуча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ю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щихся к преподаваемому предмету и теме урока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умеет создавать ситуации, обеспечивающие обучающимся успех в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поддерживает интерес к познанию посредством организации </w:t>
            </w:r>
            <w:proofErr w:type="spell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самооценивания</w:t>
            </w:r>
            <w:proofErr w:type="spell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степени достижения цели учения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Компетентность педагога в </w:t>
            </w:r>
            <w:proofErr w:type="gramStart"/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содержании</w:t>
            </w:r>
            <w:proofErr w:type="gramEnd"/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 деятельности (уровень владения учебным материалом </w:t>
            </w: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lastRenderedPageBreak/>
              <w:t>по предмету):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демонстрирует знание основ преподаваемого предмета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демонстрирует целостное видение  данного урока как элемента всей темы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умеет сочетать предметные и метапредметные знания и способы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качестве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источников информации</w:t>
            </w: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привлекает различные тексты, электронные образовател</w:t>
            </w: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  <w:lang w:eastAsia="en-US"/>
              </w:rPr>
              <w:t>ные,  человеческие ресурсы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демонстрирует использование обучающимися инструментов преобразования информации в индивидуальной и коммуникативной деятельности при работе с различными источниками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7.3.4.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Компетентность педагога в </w:t>
            </w:r>
            <w:proofErr w:type="gramStart"/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методах</w:t>
            </w:r>
            <w:proofErr w:type="gramEnd"/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 преподавания (уровень методической грамотности):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- используемые на уроке методы обучения соответствуют поставленным целям и задачам, с</w:t>
            </w: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о</w:t>
            </w: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держанию изучаемого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умеет включить в активную продуктивную (частично-поисковую, проблемную, творческую) деятельность всех обучающихся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владеет методами рационального сочетания индивидуальной, парной, коллективной, групп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вой форм деятельности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умеет сочетать методы педагогического оценивания, </w:t>
            </w:r>
            <w:proofErr w:type="spell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взаимооценки</w:t>
            </w:r>
            <w:proofErr w:type="spell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самооценки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организует рефлексию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относительно поставленной ими цели учения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7.3.5.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Компетентность педагога в области профессионально-педагогической позиции и личностных качеств: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- демонстрирует демократический стиль в  общении с </w:t>
            </w:r>
            <w:proofErr w:type="gramStart"/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- реализует право </w:t>
            </w:r>
            <w:proofErr w:type="gramStart"/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 на ошибку и ее исправление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- проявляет искренний интерес к позиции каждого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- высказывания педагога построены грамотно и доступно для понимания, его отличает высокая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- педагог обеспечивает направленность деятельности каждого обучающегося на развитие ли</w:t>
            </w: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ч</w:t>
            </w:r>
            <w:r w:rsidRPr="009C2409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ностных качеств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2409" w:rsidRPr="007D21C2" w:rsidTr="00A37722">
        <w:trPr>
          <w:trHeight w:val="20"/>
          <w:jc w:val="center"/>
        </w:trPr>
        <w:tc>
          <w:tcPr>
            <w:tcW w:w="851" w:type="dxa"/>
          </w:tcPr>
          <w:p w:rsidR="009C2409" w:rsidRPr="009C2409" w:rsidRDefault="009C2409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3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2409" w:rsidRPr="009C2409" w:rsidRDefault="009C2409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Критерий 8 "</w:t>
            </w:r>
            <w:r w:rsidRPr="009C24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Высокие сертифицированные достижения педагогического работника" </w:t>
            </w:r>
          </w:p>
          <w:p w:rsidR="009C2409" w:rsidRPr="009C2409" w:rsidRDefault="009C2409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Достаточное максимальное количество баллов – 120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"Поощрения за активное участие в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развитии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совершенствовании системы образ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вания Российской Федерации и/или Хабаровского края"</w:t>
            </w:r>
          </w:p>
          <w:p w:rsidR="00EB1E7A" w:rsidRPr="009C2409" w:rsidRDefault="00EB1E7A" w:rsidP="009C2409">
            <w:pPr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8.1.1.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в межаттестационный период ведомственными (отраслевыми) наградами Мин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стерства образования и науки Российской Федерации, Министерства культуры Российской Ф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дерации, Министерства спорта Российской Федерации, Министерства здравоохранения Росси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в межаттестационный период государственными наградами Правительства Ро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сийской Федерации по профилю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8.1.4.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в межаттестационный период наградами Правительства Хабаровского края (п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мятный знак Правительства Хабаровского края "Заслуженный работник образования Хабаро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края", "Заслуженный работник здравоохранения  Хабаровского края", почетный знак Пр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вительства Хабаровского края "За заслуги" им. Н.Н. </w:t>
            </w:r>
            <w:proofErr w:type="spell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Муравьёва</w:t>
            </w:r>
            <w:proofErr w:type="spell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-Амурского")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8.1.5.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в межаттестационный период Почетной грамотой, Благодарностью Губернатора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"Достижения в профессиональных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конкурсах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 призёром конкурса на получение денежного поощрения лучшими учителями образов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тельных учреждений, реализующих общеобразовательные программы начального общего, 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новного общего и среднего (полного) общего образования, в рамках приоритетного национал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проекта "Образование"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60</w:t>
            </w:r>
          </w:p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 победителем конкурса на получение денежного поощрения лучшими учителями обр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зовательных учреждений, реализующих общеобразовательные программы начального общего, основного общего и среднего (полного) общего образования, в рамках приоритетного наци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нального проекта "Образование"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 победителем краевого или заключительного этапа Всероссийских конкурсов профе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сионального мастерства: "Учитель года", "Учитель года – победитель ПНПО", "Преподаватель-организатор ОБЖ", "Учитель родного языка", "Мастер года", "Преподаватель года", "Воспит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 года", "Сердце отдаю детям"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8.2.34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Является победителем краевого этапа конкурса "Самый классный </w:t>
            </w:r>
            <w:proofErr w:type="spellStart"/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41" w:type="dxa"/>
            <w:vMerge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"Повышение квалификации в инновационных </w:t>
            </w: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формах</w:t>
            </w:r>
            <w:proofErr w:type="gram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  <w:p w:rsidR="00EB1E7A" w:rsidRPr="009C2409" w:rsidRDefault="00EB1E7A" w:rsidP="009C2409">
            <w:pPr>
              <w:widowControl w:val="0"/>
              <w:tabs>
                <w:tab w:val="left" w:pos="0"/>
              </w:tabs>
              <w:spacing w:before="60" w:after="0" w:line="240" w:lineRule="exact"/>
              <w:ind w:hanging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Максимальное количество баллов – 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5F73" w:rsidRPr="007D21C2" w:rsidTr="009C2409">
        <w:trPr>
          <w:trHeight w:val="20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8.3.1.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Окончание курсов повышенного уровня на базе КГБОУ ДПО ХК ИРО с итоговой аттестацией в форме разработки инновационного педагогического продукта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B1E7A" w:rsidRPr="009C2409" w:rsidRDefault="00EB1E7A" w:rsidP="009C2409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2409" w:rsidRDefault="009C2409">
      <w:pPr>
        <w:rPr>
          <w:rFonts w:ascii="Times New Roman" w:hAnsi="Times New Roman"/>
          <w:color w:val="000000" w:themeColor="text1"/>
        </w:rPr>
      </w:pPr>
    </w:p>
    <w:p w:rsidR="001E6121" w:rsidRDefault="001E6121" w:rsidP="001E6121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аттестации и </w:t>
      </w:r>
    </w:p>
    <w:p w:rsidR="001E6121" w:rsidRPr="000E5477" w:rsidRDefault="001E6121" w:rsidP="001E6121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/>
          <w:color w:val="000000" w:themeColor="text1"/>
          <w:sz w:val="28"/>
          <w:szCs w:val="28"/>
        </w:rPr>
        <w:t>повышения квалификации</w:t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27E0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>О.Л. Просекова</w:t>
      </w:r>
    </w:p>
    <w:p w:rsidR="001E6121" w:rsidRPr="007D21C2" w:rsidRDefault="001E6121">
      <w:pPr>
        <w:rPr>
          <w:rFonts w:ascii="Times New Roman" w:hAnsi="Times New Roman"/>
          <w:color w:val="000000" w:themeColor="text1"/>
        </w:rPr>
      </w:pPr>
    </w:p>
    <w:sectPr w:rsidR="001E6121" w:rsidRPr="007D21C2" w:rsidSect="00CB4CC6">
      <w:headerReference w:type="default" r:id="rId9"/>
      <w:headerReference w:type="first" r:id="rId10"/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73" w:rsidRDefault="00BE5F73" w:rsidP="00C2634B">
      <w:pPr>
        <w:spacing w:after="0" w:line="240" w:lineRule="auto"/>
      </w:pPr>
      <w:r>
        <w:separator/>
      </w:r>
    </w:p>
  </w:endnote>
  <w:endnote w:type="continuationSeparator" w:id="0">
    <w:p w:rsidR="00BE5F73" w:rsidRDefault="00BE5F73" w:rsidP="00C2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73" w:rsidRDefault="00BE5F73" w:rsidP="00C2634B">
      <w:pPr>
        <w:spacing w:after="0" w:line="240" w:lineRule="auto"/>
      </w:pPr>
      <w:r>
        <w:separator/>
      </w:r>
    </w:p>
  </w:footnote>
  <w:footnote w:type="continuationSeparator" w:id="0">
    <w:p w:rsidR="00BE5F73" w:rsidRDefault="00BE5F73" w:rsidP="00C2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97363"/>
      <w:docPartObj>
        <w:docPartGallery w:val="Page Numbers (Top of Page)"/>
        <w:docPartUnique/>
      </w:docPartObj>
    </w:sdtPr>
    <w:sdtEndPr/>
    <w:sdtContent>
      <w:p w:rsidR="00CB4CC6" w:rsidRDefault="00CB4CC6">
        <w:pPr>
          <w:pStyle w:val="ae"/>
          <w:jc w:val="center"/>
        </w:pPr>
        <w:r w:rsidRPr="00CB4CC6">
          <w:rPr>
            <w:rFonts w:ascii="Times New Roman" w:hAnsi="Times New Roman"/>
            <w:sz w:val="24"/>
            <w:szCs w:val="24"/>
          </w:rPr>
          <w:fldChar w:fldCharType="begin"/>
        </w:r>
        <w:r w:rsidRPr="00CB4CC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4CC6">
          <w:rPr>
            <w:rFonts w:ascii="Times New Roman" w:hAnsi="Times New Roman"/>
            <w:sz w:val="24"/>
            <w:szCs w:val="24"/>
          </w:rPr>
          <w:fldChar w:fldCharType="separate"/>
        </w:r>
        <w:r w:rsidR="0088467F">
          <w:rPr>
            <w:rFonts w:ascii="Times New Roman" w:hAnsi="Times New Roman"/>
            <w:noProof/>
            <w:sz w:val="24"/>
            <w:szCs w:val="24"/>
          </w:rPr>
          <w:t>3</w:t>
        </w:r>
        <w:r w:rsidRPr="00CB4CC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E5F73" w:rsidRDefault="00BE5F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C6" w:rsidRDefault="00CB4CC6">
    <w:pPr>
      <w:pStyle w:val="ae"/>
      <w:jc w:val="center"/>
    </w:pPr>
  </w:p>
  <w:p w:rsidR="00CB4CC6" w:rsidRDefault="00CB4CC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61185"/>
    <w:multiLevelType w:val="hybridMultilevel"/>
    <w:tmpl w:val="922AD29E"/>
    <w:lvl w:ilvl="0" w:tplc="6310E3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DD0"/>
    <w:rsid w:val="00072CBF"/>
    <w:rsid w:val="0007381D"/>
    <w:rsid w:val="00074966"/>
    <w:rsid w:val="00074D50"/>
    <w:rsid w:val="00077E4F"/>
    <w:rsid w:val="000A5ABC"/>
    <w:rsid w:val="000B6D5C"/>
    <w:rsid w:val="000B7BEF"/>
    <w:rsid w:val="000C63CC"/>
    <w:rsid w:val="000F61B4"/>
    <w:rsid w:val="00102DD0"/>
    <w:rsid w:val="00132202"/>
    <w:rsid w:val="001334F6"/>
    <w:rsid w:val="00147146"/>
    <w:rsid w:val="0016510F"/>
    <w:rsid w:val="00165D15"/>
    <w:rsid w:val="0019166D"/>
    <w:rsid w:val="00191DCE"/>
    <w:rsid w:val="001B4077"/>
    <w:rsid w:val="001C42B0"/>
    <w:rsid w:val="001E1FD6"/>
    <w:rsid w:val="001E5500"/>
    <w:rsid w:val="001E6121"/>
    <w:rsid w:val="00212894"/>
    <w:rsid w:val="0021408F"/>
    <w:rsid w:val="0025485A"/>
    <w:rsid w:val="00257334"/>
    <w:rsid w:val="002635DF"/>
    <w:rsid w:val="00267739"/>
    <w:rsid w:val="0027402A"/>
    <w:rsid w:val="002754AF"/>
    <w:rsid w:val="0028411E"/>
    <w:rsid w:val="00284971"/>
    <w:rsid w:val="002C6F4A"/>
    <w:rsid w:val="002E1BB9"/>
    <w:rsid w:val="002E5159"/>
    <w:rsid w:val="002F2B97"/>
    <w:rsid w:val="0030000A"/>
    <w:rsid w:val="00304B69"/>
    <w:rsid w:val="003226A5"/>
    <w:rsid w:val="003455BC"/>
    <w:rsid w:val="00350E52"/>
    <w:rsid w:val="00361AA1"/>
    <w:rsid w:val="0036302A"/>
    <w:rsid w:val="00367E11"/>
    <w:rsid w:val="00381685"/>
    <w:rsid w:val="003A2435"/>
    <w:rsid w:val="003C6133"/>
    <w:rsid w:val="003E13B3"/>
    <w:rsid w:val="003E2CB8"/>
    <w:rsid w:val="004208E7"/>
    <w:rsid w:val="004213F2"/>
    <w:rsid w:val="00432EF1"/>
    <w:rsid w:val="00441E9F"/>
    <w:rsid w:val="004450AF"/>
    <w:rsid w:val="0048112D"/>
    <w:rsid w:val="00496781"/>
    <w:rsid w:val="004A5528"/>
    <w:rsid w:val="004B274C"/>
    <w:rsid w:val="004E4197"/>
    <w:rsid w:val="004F2D99"/>
    <w:rsid w:val="00504B19"/>
    <w:rsid w:val="00511D9D"/>
    <w:rsid w:val="00515954"/>
    <w:rsid w:val="00557F22"/>
    <w:rsid w:val="0056444C"/>
    <w:rsid w:val="00585464"/>
    <w:rsid w:val="005A22D6"/>
    <w:rsid w:val="005B4C68"/>
    <w:rsid w:val="005C0B25"/>
    <w:rsid w:val="005C5D7C"/>
    <w:rsid w:val="005D3406"/>
    <w:rsid w:val="005D6A3C"/>
    <w:rsid w:val="0061120E"/>
    <w:rsid w:val="00615419"/>
    <w:rsid w:val="00627E05"/>
    <w:rsid w:val="00633FB6"/>
    <w:rsid w:val="0065598B"/>
    <w:rsid w:val="00655F0E"/>
    <w:rsid w:val="006777A1"/>
    <w:rsid w:val="006906D9"/>
    <w:rsid w:val="006915FD"/>
    <w:rsid w:val="006B151B"/>
    <w:rsid w:val="006C1AE1"/>
    <w:rsid w:val="006D304B"/>
    <w:rsid w:val="006E48EF"/>
    <w:rsid w:val="006F07B8"/>
    <w:rsid w:val="006F6B39"/>
    <w:rsid w:val="00701EAF"/>
    <w:rsid w:val="00712BA0"/>
    <w:rsid w:val="00725784"/>
    <w:rsid w:val="0074659C"/>
    <w:rsid w:val="00756156"/>
    <w:rsid w:val="00762B82"/>
    <w:rsid w:val="00794D95"/>
    <w:rsid w:val="007C13C4"/>
    <w:rsid w:val="007D21C2"/>
    <w:rsid w:val="007D3C94"/>
    <w:rsid w:val="007D3F58"/>
    <w:rsid w:val="007D41A0"/>
    <w:rsid w:val="007F736D"/>
    <w:rsid w:val="00831D5B"/>
    <w:rsid w:val="0084465B"/>
    <w:rsid w:val="0086173E"/>
    <w:rsid w:val="00867326"/>
    <w:rsid w:val="00880F82"/>
    <w:rsid w:val="0088467F"/>
    <w:rsid w:val="008A6AF9"/>
    <w:rsid w:val="008B4480"/>
    <w:rsid w:val="008B4724"/>
    <w:rsid w:val="00920F10"/>
    <w:rsid w:val="009579E2"/>
    <w:rsid w:val="0096056C"/>
    <w:rsid w:val="00974DCF"/>
    <w:rsid w:val="00975467"/>
    <w:rsid w:val="00986E4D"/>
    <w:rsid w:val="009950FA"/>
    <w:rsid w:val="009B3DF9"/>
    <w:rsid w:val="009C2409"/>
    <w:rsid w:val="009C6288"/>
    <w:rsid w:val="009C74F6"/>
    <w:rsid w:val="009F0C26"/>
    <w:rsid w:val="00A00D49"/>
    <w:rsid w:val="00A0601A"/>
    <w:rsid w:val="00A31AAF"/>
    <w:rsid w:val="00A60E7E"/>
    <w:rsid w:val="00A77F1E"/>
    <w:rsid w:val="00A83543"/>
    <w:rsid w:val="00A86C60"/>
    <w:rsid w:val="00AA7D8A"/>
    <w:rsid w:val="00AB2140"/>
    <w:rsid w:val="00AD55E8"/>
    <w:rsid w:val="00AE724C"/>
    <w:rsid w:val="00AF0D0C"/>
    <w:rsid w:val="00B36F6E"/>
    <w:rsid w:val="00B558AB"/>
    <w:rsid w:val="00B5681E"/>
    <w:rsid w:val="00B6621F"/>
    <w:rsid w:val="00B72B99"/>
    <w:rsid w:val="00B947FC"/>
    <w:rsid w:val="00BB6F1B"/>
    <w:rsid w:val="00BC3DE7"/>
    <w:rsid w:val="00BC5145"/>
    <w:rsid w:val="00BD31AA"/>
    <w:rsid w:val="00BD35EC"/>
    <w:rsid w:val="00BE20CD"/>
    <w:rsid w:val="00BE5F73"/>
    <w:rsid w:val="00BE64EF"/>
    <w:rsid w:val="00BF0592"/>
    <w:rsid w:val="00BF56D0"/>
    <w:rsid w:val="00C2634B"/>
    <w:rsid w:val="00C27E48"/>
    <w:rsid w:val="00C67C0A"/>
    <w:rsid w:val="00C96FEC"/>
    <w:rsid w:val="00CA25E7"/>
    <w:rsid w:val="00CA5FF1"/>
    <w:rsid w:val="00CB4CC6"/>
    <w:rsid w:val="00CD5A4B"/>
    <w:rsid w:val="00CE711F"/>
    <w:rsid w:val="00CF461E"/>
    <w:rsid w:val="00D0760B"/>
    <w:rsid w:val="00D14241"/>
    <w:rsid w:val="00D14508"/>
    <w:rsid w:val="00D24622"/>
    <w:rsid w:val="00D26008"/>
    <w:rsid w:val="00D41CBF"/>
    <w:rsid w:val="00D62610"/>
    <w:rsid w:val="00D81FCC"/>
    <w:rsid w:val="00D91ECE"/>
    <w:rsid w:val="00DB21A4"/>
    <w:rsid w:val="00DC1973"/>
    <w:rsid w:val="00DC6C6A"/>
    <w:rsid w:val="00E137A4"/>
    <w:rsid w:val="00E13811"/>
    <w:rsid w:val="00E14392"/>
    <w:rsid w:val="00E20C1E"/>
    <w:rsid w:val="00E23D10"/>
    <w:rsid w:val="00E3589B"/>
    <w:rsid w:val="00E51EE2"/>
    <w:rsid w:val="00E542C6"/>
    <w:rsid w:val="00E57E75"/>
    <w:rsid w:val="00E6405A"/>
    <w:rsid w:val="00E83D25"/>
    <w:rsid w:val="00E96304"/>
    <w:rsid w:val="00EB1E7A"/>
    <w:rsid w:val="00EC03D3"/>
    <w:rsid w:val="00EC417F"/>
    <w:rsid w:val="00EE223A"/>
    <w:rsid w:val="00EF3015"/>
    <w:rsid w:val="00EF704E"/>
    <w:rsid w:val="00F104F7"/>
    <w:rsid w:val="00F143B0"/>
    <w:rsid w:val="00F2728C"/>
    <w:rsid w:val="00F358C2"/>
    <w:rsid w:val="00F66E61"/>
    <w:rsid w:val="00F70018"/>
    <w:rsid w:val="00F75546"/>
    <w:rsid w:val="00FC3DAF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02DD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D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2D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02DD0"/>
    <w:pPr>
      <w:ind w:left="720"/>
      <w:contextualSpacing/>
    </w:pPr>
  </w:style>
  <w:style w:type="paragraph" w:customStyle="1" w:styleId="11">
    <w:name w:val="Абзац списка1"/>
    <w:basedOn w:val="a"/>
    <w:rsid w:val="00102DD0"/>
    <w:pPr>
      <w:ind w:left="720"/>
      <w:contextualSpacing/>
    </w:pPr>
    <w:rPr>
      <w:rFonts w:eastAsia="Calibri"/>
    </w:rPr>
  </w:style>
  <w:style w:type="character" w:customStyle="1" w:styleId="FontStyle16">
    <w:name w:val="Font Style16"/>
    <w:rsid w:val="00102DD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102DD0"/>
    <w:rPr>
      <w:vertAlign w:val="superscript"/>
    </w:rPr>
  </w:style>
  <w:style w:type="table" w:styleId="a5">
    <w:name w:val="Table Grid"/>
    <w:basedOn w:val="a1"/>
    <w:uiPriority w:val="59"/>
    <w:rsid w:val="00102D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basedOn w:val="a0"/>
    <w:uiPriority w:val="99"/>
    <w:semiHidden/>
    <w:unhideWhenUsed/>
    <w:rsid w:val="00102D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2D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2DD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2D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2DD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2DD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102D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C2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2634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2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634B"/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semiHidden/>
    <w:unhideWhenUsed/>
    <w:rsid w:val="001E61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02DD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D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2D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02DD0"/>
    <w:pPr>
      <w:ind w:left="720"/>
      <w:contextualSpacing/>
    </w:pPr>
  </w:style>
  <w:style w:type="paragraph" w:customStyle="1" w:styleId="11">
    <w:name w:val="Абзац списка1"/>
    <w:basedOn w:val="a"/>
    <w:rsid w:val="00102DD0"/>
    <w:pPr>
      <w:ind w:left="720"/>
      <w:contextualSpacing/>
    </w:pPr>
    <w:rPr>
      <w:rFonts w:eastAsia="Calibri"/>
    </w:rPr>
  </w:style>
  <w:style w:type="character" w:customStyle="1" w:styleId="FontStyle16">
    <w:name w:val="Font Style16"/>
    <w:rsid w:val="00102DD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102DD0"/>
    <w:rPr>
      <w:vertAlign w:val="superscript"/>
    </w:rPr>
  </w:style>
  <w:style w:type="table" w:styleId="a5">
    <w:name w:val="Table Grid"/>
    <w:basedOn w:val="a1"/>
    <w:uiPriority w:val="59"/>
    <w:rsid w:val="00102D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basedOn w:val="a0"/>
    <w:uiPriority w:val="99"/>
    <w:semiHidden/>
    <w:unhideWhenUsed/>
    <w:rsid w:val="00102D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2D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2DD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2D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2DD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2DD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102D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C2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2634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2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634B"/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semiHidden/>
    <w:unhideWhenUsed/>
    <w:rsid w:val="001E61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88FA-BC2C-4B27-8610-A6AD1B37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21</Pages>
  <Words>5714</Words>
  <Characters>32575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Петрунина Татьяна Авинеровна</dc:creator>
  <cp:lastModifiedBy>Мария Александровна Храмова</cp:lastModifiedBy>
  <cp:revision>10</cp:revision>
  <cp:lastPrinted>2014-12-25T00:02:00Z</cp:lastPrinted>
  <dcterms:created xsi:type="dcterms:W3CDTF">2014-12-15T06:04:00Z</dcterms:created>
  <dcterms:modified xsi:type="dcterms:W3CDTF">2014-12-29T07:23:00Z</dcterms:modified>
</cp:coreProperties>
</file>