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AC" w:rsidRDefault="002B2EAC" w:rsidP="002B2EAC">
      <w:pPr>
        <w:pStyle w:val="a8"/>
        <w:spacing w:before="120" w:beforeAutospacing="0" w:after="120" w:afterAutospacing="0"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75D6F">
        <w:rPr>
          <w:sz w:val="28"/>
          <w:szCs w:val="28"/>
        </w:rPr>
        <w:t xml:space="preserve"> </w:t>
      </w:r>
      <w:r w:rsidR="00472D2B">
        <w:rPr>
          <w:sz w:val="28"/>
          <w:szCs w:val="28"/>
        </w:rPr>
        <w:t xml:space="preserve">    УТВЕРЖДЕН</w:t>
      </w:r>
    </w:p>
    <w:p w:rsidR="002B2EAC" w:rsidRDefault="002B2EAC" w:rsidP="002B2EAC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72D2B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министерства</w:t>
      </w:r>
    </w:p>
    <w:p w:rsidR="002B2EAC" w:rsidRDefault="002B2EAC" w:rsidP="002B2EAC">
      <w:pPr>
        <w:pStyle w:val="a8"/>
        <w:spacing w:before="0" w:beforeAutospacing="0" w:after="0" w:afterAutospacing="0" w:line="240" w:lineRule="exact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образования и науки</w:t>
      </w:r>
    </w:p>
    <w:p w:rsidR="002B2EAC" w:rsidRDefault="002B2EAC" w:rsidP="002B2EAC">
      <w:pPr>
        <w:pStyle w:val="a8"/>
        <w:spacing w:before="0" w:beforeAutospacing="0" w:after="0" w:afterAutospacing="0" w:line="240" w:lineRule="exact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Хабаровского края</w:t>
      </w:r>
    </w:p>
    <w:p w:rsidR="002B2EAC" w:rsidRDefault="002B2EAC" w:rsidP="002B2EAC">
      <w:pPr>
        <w:pStyle w:val="a8"/>
        <w:spacing w:before="120" w:beforeAutospacing="0" w:after="0" w:afterAutospacing="0"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D378B">
        <w:rPr>
          <w:sz w:val="28"/>
          <w:szCs w:val="28"/>
        </w:rPr>
        <w:t xml:space="preserve">                            </w:t>
      </w:r>
      <w:r w:rsidR="009F3B76">
        <w:rPr>
          <w:sz w:val="28"/>
          <w:szCs w:val="28"/>
        </w:rPr>
        <w:t xml:space="preserve">        </w:t>
      </w:r>
      <w:r w:rsidR="002D378B">
        <w:rPr>
          <w:sz w:val="28"/>
          <w:szCs w:val="28"/>
        </w:rPr>
        <w:t xml:space="preserve"> </w:t>
      </w:r>
      <w:r w:rsidR="002D378B" w:rsidRPr="007234FE">
        <w:rPr>
          <w:color w:val="000000" w:themeColor="text1"/>
          <w:sz w:val="28"/>
          <w:szCs w:val="28"/>
        </w:rPr>
        <w:t>"</w:t>
      </w:r>
      <w:r w:rsidR="009F3B76">
        <w:rPr>
          <w:color w:val="000000" w:themeColor="text1"/>
          <w:sz w:val="28"/>
          <w:szCs w:val="28"/>
        </w:rPr>
        <w:t>29</w:t>
      </w:r>
      <w:r w:rsidR="002D378B" w:rsidRPr="007234FE">
        <w:rPr>
          <w:color w:val="000000" w:themeColor="text1"/>
          <w:sz w:val="28"/>
          <w:szCs w:val="28"/>
        </w:rPr>
        <w:t>"</w:t>
      </w:r>
      <w:r w:rsidR="009F3B76">
        <w:rPr>
          <w:color w:val="000000" w:themeColor="text1"/>
          <w:sz w:val="28"/>
          <w:szCs w:val="28"/>
        </w:rPr>
        <w:t xml:space="preserve"> 12.</w:t>
      </w:r>
      <w:r w:rsidR="002D378B">
        <w:rPr>
          <w:sz w:val="28"/>
          <w:szCs w:val="28"/>
        </w:rPr>
        <w:t xml:space="preserve"> </w:t>
      </w:r>
      <w:r w:rsidR="009F3B76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="002D378B">
        <w:rPr>
          <w:sz w:val="28"/>
          <w:szCs w:val="28"/>
        </w:rPr>
        <w:t xml:space="preserve"> </w:t>
      </w:r>
      <w:r w:rsidR="009F3B76">
        <w:rPr>
          <w:sz w:val="28"/>
          <w:szCs w:val="28"/>
        </w:rPr>
        <w:t>77</w:t>
      </w:r>
      <w:r w:rsidR="002D378B">
        <w:rPr>
          <w:sz w:val="28"/>
          <w:szCs w:val="28"/>
        </w:rPr>
        <w:t>___</w:t>
      </w:r>
    </w:p>
    <w:bookmarkEnd w:id="0"/>
    <w:p w:rsidR="000C7DCA" w:rsidRPr="007207CA" w:rsidRDefault="000C7DCA" w:rsidP="007234FE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1E0810" w:rsidRPr="00452441" w:rsidRDefault="001E0810" w:rsidP="007234FE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0C7DCA" w:rsidRPr="00452441" w:rsidRDefault="000C7DCA" w:rsidP="007234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0C7DCA" w:rsidRPr="007234FE" w:rsidRDefault="000C7DCA" w:rsidP="007234FE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25887" w:rsidRPr="007234FE" w:rsidRDefault="00625887" w:rsidP="003712FC">
      <w:pPr>
        <w:spacing w:before="60" w:after="60" w:line="200" w:lineRule="exact"/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234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ПЕРЕЧЕНЬ </w:t>
      </w:r>
    </w:p>
    <w:p w:rsidR="00422219" w:rsidRPr="007234FE" w:rsidRDefault="00625887" w:rsidP="002B2EA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критериев и показателей</w:t>
      </w:r>
      <w:r w:rsidR="001C51FD" w:rsidRPr="007234F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оценки профессиональной деятельности педагогического работника</w:t>
      </w:r>
      <w:r w:rsidR="00DF1911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для установления соо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ветствия квалификационной категории (первой или высшей)</w:t>
      </w:r>
      <w:r w:rsidR="001C51FD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должности 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A06F4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отделений де</w:t>
      </w:r>
      <w:r w:rsidR="007A06F4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A06F4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домов, 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A06F4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51FD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</w:t>
      </w:r>
      <w:r w:rsidR="00034632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образ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20D8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вательных </w:t>
      </w:r>
      <w:r w:rsidR="007A06F4" w:rsidRPr="007234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</w:p>
    <w:p w:rsidR="001E0810" w:rsidRPr="00452441" w:rsidRDefault="001E0810" w:rsidP="002B2EAC">
      <w:pPr>
        <w:spacing w:after="0" w:line="24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0852" w:rsidRPr="00452441" w:rsidRDefault="00370852" w:rsidP="003D3573">
      <w:pPr>
        <w:spacing w:before="60" w:after="60" w:line="2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205"/>
        <w:gridCol w:w="1134"/>
        <w:gridCol w:w="2041"/>
      </w:tblGrid>
      <w:tr w:rsidR="00043132" w:rsidRPr="002F71A2" w:rsidTr="002F71A2">
        <w:trPr>
          <w:trHeight w:val="20"/>
          <w:tblHeader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B6316" w:rsidRPr="002F71A2" w:rsidRDefault="004B6316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="003D3573"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   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B6316" w:rsidRPr="002F71A2" w:rsidRDefault="004B6316" w:rsidP="003712FC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B6316" w:rsidRPr="002F71A2" w:rsidRDefault="004B6316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Оценка в баллах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B6316" w:rsidRPr="002F71A2" w:rsidRDefault="004B6316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Способ вывед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ния оценки</w:t>
            </w:r>
          </w:p>
        </w:tc>
      </w:tr>
      <w:tr w:rsidR="002F71A2" w:rsidRPr="002F71A2" w:rsidTr="002F71A2">
        <w:trPr>
          <w:trHeight w:val="20"/>
          <w:tblHeader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71A2" w:rsidRPr="002F71A2" w:rsidRDefault="002F71A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71A2" w:rsidRPr="002F71A2" w:rsidRDefault="002F71A2" w:rsidP="003712FC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71A2" w:rsidRPr="002F71A2" w:rsidRDefault="002F71A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71A2" w:rsidRPr="002F71A2" w:rsidRDefault="002F71A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1 "Результаты освоения воспитанниками образовательных программ по итогам мон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торингов, проводимых организацией" (по результатам диагностики)</w:t>
            </w:r>
          </w:p>
          <w:p w:rsidR="004674D2" w:rsidRPr="002F71A2" w:rsidRDefault="004674D2" w:rsidP="004674D2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27</w:t>
            </w:r>
          </w:p>
          <w:p w:rsidR="004674D2" w:rsidRPr="002F71A2" w:rsidRDefault="004674D2" w:rsidP="004674D2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Результаты по показателям 1.1 и 1.2 представляются за годы, приходящиеся на межаттестацио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ный период, до введения ФГОС дошкольного образования.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pStyle w:val="a3"/>
              <w:widowControl w:val="0"/>
              <w:spacing w:before="60" w:after="0" w:line="240" w:lineRule="exact"/>
              <w:ind w:left="0" w:hanging="3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"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Результаты формирования интегративных качеств воспитанников"</w:t>
            </w:r>
          </w:p>
          <w:p w:rsidR="004674D2" w:rsidRPr="002F71A2" w:rsidRDefault="004674D2" w:rsidP="004674D2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или </w:t>
            </w:r>
          </w:p>
          <w:p w:rsidR="004674D2" w:rsidRPr="002F71A2" w:rsidRDefault="004674D2" w:rsidP="004674D2">
            <w:pPr>
              <w:pStyle w:val="a3"/>
              <w:widowControl w:val="0"/>
              <w:spacing w:before="60" w:after="0" w:line="240" w:lineRule="exact"/>
              <w:ind w:left="0" w:hanging="3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"Результаты нервно-психического развития детей раннего возраста (для воспитателей групп раннего возраста)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</w:p>
          <w:p w:rsidR="004674D2" w:rsidRPr="002F71A2" w:rsidRDefault="004674D2" w:rsidP="004674D2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Показатели сформированности интегративных качеств воспитанников (в %):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соответствуют норме или превышают ее – менее 70 % воспитанн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70 % воспитанников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воспитанников, при этом  преобл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дают показатели, превышающие норму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pStyle w:val="a3"/>
              <w:widowControl w:val="0"/>
              <w:spacing w:before="60" w:after="0" w:line="240" w:lineRule="exact"/>
              <w:ind w:left="0" w:hanging="28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Показатели нервно-психического развития детей раннего возраста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для воспитателей групп ра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него возраста):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соответствуют норме или превышают ее – менее 70 % воспитанн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70 % воспитанников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воспитанников, при этом  преобл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дают показатели, превышающие норму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674D2" w:rsidRPr="002F71A2" w:rsidRDefault="004674D2" w:rsidP="004674D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674D2" w:rsidRPr="002F71A2" w:rsidRDefault="004674D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Динамика показателей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сформированности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интегративных качеств: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отрицательная динамика по большинству показателей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положительная динамика (преобладает по большинству показателей) доли воспитанников (м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нее 70 %) с 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сформированности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интегративных качеств, соответствующими норме или превышающими норму или стабильность (преобладает по большинству показателей) доли в</w:t>
            </w:r>
            <w:r w:rsidR="002F71A2"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оспитанников (не менее 70 %) с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показателями </w:t>
            </w:r>
            <w:proofErr w:type="spellStart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интегративных качеств, соо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ветствующими норме или превышающими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положительная динамика (преобладает по большинству показателей) доли воспитанников (не менее 70 %) с 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сформированности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интегративных качеств, соответствующими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норме или превышающими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стабильность или положительная динамика доли воспитанников (не менее 90 %) с показател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сформированности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интегративных качеств, соответствующими норме или превышающими норму,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 отсутствии отрицательной динамики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Динамика показателей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нервно-психического развития детей раннего возраста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для воспитателей групп раннего возраста):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отрицательная динамика по большинству показателей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положительная динамика (преобладает по большинству показателей) доли воспитанников (м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нее 70 %) с 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нервно-психического развития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прев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шающими норму или стабильность (преобладает по большинству показателей) доли воспита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ников (не менее 70 %) с 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нервно-психического развития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превышающими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положительная динамика (преобладает по большинству показателей) доли в</w:t>
            </w:r>
            <w:r w:rsidR="002F71A2"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оспитанников (не менее 70 %) с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нервно-психического развития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вышающими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стабильность или положительная динамика доли воспитанников (не менее 90 %) с показател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нервно-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психического развития, соответствующими норме или превышающими норму, при отсутствии отрицательной динамики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Динамика развития необходимых умений и навыков в каждый возрастной период" (по результатам диагностики)</w:t>
            </w:r>
          </w:p>
          <w:p w:rsidR="00043132" w:rsidRPr="002F71A2" w:rsidRDefault="00043132" w:rsidP="00E006FF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или</w:t>
            </w:r>
          </w:p>
          <w:p w:rsidR="00043132" w:rsidRPr="002F71A2" w:rsidRDefault="0004313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"Динамика сенсорного развития детей раннего возраста (для воспитателей групп раннего во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раста)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результатам диагностики)</w:t>
            </w:r>
          </w:p>
          <w:p w:rsidR="00043132" w:rsidRPr="002F71A2" w:rsidRDefault="00043132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–12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Умения и навыки воспитанников в игровой, трудовой, двигательной и познавательной </w:t>
            </w:r>
            <w:proofErr w:type="gramStart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деятел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ностях</w:t>
            </w:r>
            <w:proofErr w:type="gramEnd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коммуникации, художественном и музыкальном творчестве: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 или соответствуют норме или превышают ее – менее 70 % воспитанн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соответствуют норме или превышают ее – не менее 70 % воспитанников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воспитанников,  при этом  преобл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дают показатели, превышающие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Показатели сенсорного развития детей раннего возраста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для воспитателей групп раннего во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раста):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 или соответствуют норме или превышают ее – менее 70 % воспитанн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соответствуют норме или превышают ее – не менее 70 % воспитанников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соответствуют норме или превышают ее – не менее 90 % воспитанников, при этом преоблад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 показатели, превышающие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уровня развития 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мений и навыков воспитанников в игровой, трудовой, двигательной и познавательной </w:t>
            </w:r>
            <w:proofErr w:type="gram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деятельностях</w:t>
            </w:r>
            <w:proofErr w:type="gram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коммуникации, художественном и музыкальном творчестве: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отрицательная динамика по большинству показателей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положительная динамика (преобладает по большинству показателей) доли воспитанников (м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нее 70 %) с показателями развития у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мений и навыков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превыш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ющими норму или стабильность (преобладает по большинству показателей) доли воспитанн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(не менее 70 %) с показателями развития у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мений и навыков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превышающими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положительная динамика (преобладает по большинству показателей) доли воспитанников (не менее 70 %) с показателями развития у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мений и навыков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прев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шающими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стабильность или положительная динамика доли воспитанников (не менее 90 %) с показател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развития у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мений и навыков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соответствующими норме или превышающими норму,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 о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сутствии отрицательной динамики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Динамика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показателей сенсорного развития детей раннего возраста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для воспитателей групп раннего возраста):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отрицательная динамика по большинству показателей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положительная динамика (преобладает по большинству показателей) доли воспитанников (м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нее 70 %) с 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сенсорного развития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соответствующими норме или превышающими норму, или стабильность (преобладает по большинству показателей) доли воспитанников (не менее 70 %) с 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сенсорного развития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превышающ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норму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положительная динамика (преобладает по большинству показателей) доли воспитанников (не менее 70 %) с показателями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сенсорного развития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соответствующими норме или превышающ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норму, при наличии положительной динамики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313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43132" w:rsidRPr="002F71A2" w:rsidRDefault="0004313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стабильность или положительная динамика доли воспитанников (не менее 90 %) с показател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сенсорного развития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соответствующими норме или превышающими норму,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 отсутствии отрицательной динамики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43132" w:rsidRPr="002F71A2" w:rsidRDefault="0004313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43132" w:rsidRPr="002F71A2" w:rsidRDefault="0004313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</w:t>
            </w:r>
            <w:r w:rsidRPr="002F71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социально-личностной мотивации воспитанников к образовател</w:t>
            </w:r>
            <w:r w:rsidRPr="002F71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2F71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ному процессу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результатам диагностики)</w:t>
            </w:r>
          </w:p>
          <w:p w:rsidR="00001061" w:rsidRPr="002F71A2" w:rsidRDefault="00001061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воспитанников (в %), проявляющих любознательность, активность в деятельности, орган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зуемой педагогом: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средний и высокий уровень проявления показателей – менее 70 %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средний и высокий уровень проявления показателей – не менее 70 %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средний и высокий уровень проявления показателей – не менее 90 %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средний и высокий уровень проявления показателей – не менее 90 % воспитанников при зн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чительном преобладании высокого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"Выявление и развитие способностей воспитанников к научной (интеллектуальной), творческой, физкультурно-спортивной деятельности, а также их участие в олимпиадах, конку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сах, фестивалях, соревнованиях (если деятельность педагогических работников связана с направлениями педагогической работы, по которым такие мероприятия проводятся)"</w:t>
            </w:r>
          </w:p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"Выявление и развитие способностей </w:t>
            </w:r>
            <w:r w:rsidRPr="002F71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воспитанников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 научной (интеллектуальной), творческой, физкультурно-спортивной деятельности" (кроме воспитанников групп раннего во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раста)</w:t>
            </w:r>
          </w:p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работу с воспитанниками, имеющими способности к научной (интеллектуальной), творческой, физкультурно-спортивной деятельности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разрабатывает механизмы выявления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способных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создаёт условия для развития индивидуальных способностей, реализации интересов и потре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ностей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разрабатывает и реализует индивидуальные "маршруты" психолого-педагогического сопр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вождения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способных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"Результаты творческой, спортивной деятельности воспитанников"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(кроме восп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танников групп раннего возраста)</w:t>
            </w:r>
          </w:p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Максимальное количество баллов – 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под руководством педагогического работника участвуют в конкурсах, выставках детского творчества, фестивалях, спортивных соревнованиях: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призёры образовательной организации (не менее 5-и </w:t>
            </w:r>
            <w:proofErr w:type="gram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победители образовательной организации (не менее 5-и </w:t>
            </w:r>
            <w:proofErr w:type="gram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34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участники муниципального уровня (не менее 3-х </w:t>
            </w:r>
            <w:proofErr w:type="gramStart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призёры муниципального уровня (не менее 3-х </w:t>
            </w:r>
            <w:proofErr w:type="gramStart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победители муниципального уровня (не менее 3-х </w:t>
            </w:r>
            <w:proofErr w:type="gramStart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участники краевого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призёры краевого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2,5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hanging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победители краевого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3 "Личный вклад педагогического работника в повышение качества образования, с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вершенствование методов обучения и воспитания, продуктивное использование новых образ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вательных технологий,  транслирование в педагогических коллективах опыта практических 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зультатов своей профессиональной деятельности, в том числе экспериментальной и инновац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онной"</w:t>
            </w:r>
          </w:p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 – 73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"Продуктивное использование новых образовательных технологий, включая </w:t>
            </w:r>
            <w:proofErr w:type="gram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мационные</w:t>
            </w:r>
            <w:proofErr w:type="gram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цифровых образовательных ресурсов и средств"</w:t>
            </w:r>
          </w:p>
          <w:p w:rsidR="00001061" w:rsidRPr="002F71A2" w:rsidRDefault="00001061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Совершенствует и развивает методы и средства обучения и воспитания: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раскрывает суть и результаты проводимых усовершенствований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01061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001061" w:rsidRPr="002F71A2" w:rsidRDefault="00001061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pStyle w:val="a3"/>
              <w:widowControl w:val="0"/>
              <w:spacing w:before="60"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обосновывает целесообразность проводимых усовершенствований с учетом целей и задач об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чения и воспитания, используемой программы, условий образовательной деятельности, запросов воспитанников и родителей, раскрывает их суть и результаты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01061" w:rsidRPr="002F71A2" w:rsidRDefault="00001061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001061" w:rsidRPr="002F71A2" w:rsidRDefault="00001061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Продуктивно использует новые образовательные технологии: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использования в собственной практике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боснованно с учетом целей и задач обучения и воспитания, используемой программы выбир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ет новые образовательные технологии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владеет новыми образовательными технологиями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уровне отдельных элементов,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комбинации отдельн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ых элементов разных технологий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владеет новыми образовательными технологиями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 уровне целостной системы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формирует диагностический инструментарий для оценки продуктивности использования 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вых образовательных технологий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отслеживает продуктивность использования новых образовательных технологий с применен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ем диагностического инструментария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Использует информационно-коммуникационные технологии в образовательном процессе: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спользует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мультимедийные презентации как современное средство наглядности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ладеет навыками работы с электронной почтой, сетью "Интернет", на форумах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Создает </w:t>
            </w:r>
            <w:proofErr w:type="spell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здоровьесберегающую</w:t>
            </w:r>
            <w:proofErr w:type="spell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среду</w:t>
            </w: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создает условия для рационального сочетания разных видов деятельности воспитанников в о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разовательном процессе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11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создает психологически комфортные условия в образовательном процессе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формирует у воспитанников мотивацию к здоровому образу жизни, культуру здоровья, пит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"Система индивидуальной работы с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воспитанниками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Организует индивидуальную работу с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воспитанниками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имеющими затруднения в обучении и развитии: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tabs>
                <w:tab w:val="left" w:pos="5010"/>
              </w:tabs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разрабатывает и реализует индивидуальные "маршруты" обучения и развития таких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положительную динамику в обучении и развитии таких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воспитанников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индивидуальную работу с воспитанниками из социально неблагополучных семей: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формирует диагностический комплекс и проводит мониторинг проблем у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социально неблагополучных семей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реализует совместно с органами профилактики мероприятия по предупреждению ухудшения ситуации воспитания таких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Качество образовательной среды, ее развивающий потенциал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Создает и использует развивающую среду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групповых и других помещений, участков для прог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лок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участвует в создании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развивающей среды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использует для успешной самореализации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эффективно использует основные элементы развивающей среды для включения  воспитанн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ков в различные виды  деятельности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"Участие в экспериментальной, инновационной деятельности"</w:t>
            </w:r>
          </w:p>
          <w:p w:rsidR="00865652" w:rsidRPr="002F71A2" w:rsidRDefault="00865652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Участвует в работе проблемной (творческой) группы, временного научно-исследовательского коллектива: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не раскрыт или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не участвует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муниципального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Участвует в одной из форм инновационного поиска: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не раскрыт или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не участвует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в опытно-экспериментальной или научно-исследовательской работе муниципального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5B1CCA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 реализации собственного проекта, прошедшего конкурс на присвоение статуса "педагог-исследователь" в инновационной инфраструктуре в сфере образования Хабаровского края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в реализации проекта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прошедшего конкурс на присвоение ст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туса "научно-исследовательская лаборатория", "</w:t>
            </w:r>
            <w:proofErr w:type="spell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апробационная</w:t>
            </w:r>
            <w:proofErr w:type="spell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площадка", "инновационная площадка", "центр трансфера технологий", "центр компетенций", "инновационный комплекс" в инновационной инфраструктуре в сфере образования Хабаровского края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65652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865652" w:rsidRPr="002F71A2" w:rsidRDefault="00865652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 апробации новых программ, учебников, учебно-методических комплектов федерального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5652" w:rsidRPr="002F71A2" w:rsidRDefault="00865652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65652" w:rsidRPr="002F71A2" w:rsidRDefault="00865652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"Транслирование опыта практических результатов профессиональной деятельности, в том числе экспериментальной и инновационной"</w:t>
            </w:r>
          </w:p>
          <w:p w:rsidR="00544FDA" w:rsidRPr="002F71A2" w:rsidRDefault="00544FDA" w:rsidP="00E006FF">
            <w:pPr>
              <w:widowControl w:val="0"/>
              <w:spacing w:before="60" w:after="0" w:line="240" w:lineRule="exact"/>
              <w:ind w:hanging="27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 работы внесен в банк данных педагогического опыта: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3.5.2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Участвует в мероприятиях по распространению опыта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практических результатов професси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нальной деятельности (регулярно проводит мастер-классы, тренинги, стендовые защиты, выст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пает с докладами на семин</w:t>
            </w:r>
            <w:r w:rsidR="005B1CCA"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арах, вебинарах, конференциях,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педагогических чтениях):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E006FF">
            <w:pPr>
              <w:widowControl w:val="0"/>
              <w:tabs>
                <w:tab w:val="left" w:pos="34"/>
              </w:tabs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Распространяет опыт практических результатов профессиональной деятельности в системе п</w:t>
            </w: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дагогического образования, переподготовки и повышения квалификации: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является руководителем педагогической практики студентов </w:t>
            </w:r>
            <w:r w:rsidR="005B1CCA"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C3710B" w:rsidRDefault="00544FDA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B1CCA" w:rsidRPr="00C3710B">
              <w:rPr>
                <w:rFonts w:ascii="Times New Roman" w:hAnsi="Times New Roman"/>
                <w:sz w:val="24"/>
                <w:szCs w:val="24"/>
              </w:rPr>
              <w:t>является внештатным лектором образовательных организаций, осуществляющих обучение, п</w:t>
            </w:r>
            <w:r w:rsidR="005B1CCA" w:rsidRPr="00C3710B">
              <w:rPr>
                <w:rFonts w:ascii="Times New Roman" w:hAnsi="Times New Roman"/>
                <w:sz w:val="24"/>
                <w:szCs w:val="24"/>
              </w:rPr>
              <w:t>е</w:t>
            </w:r>
            <w:r w:rsidR="005B1CCA" w:rsidRPr="00C3710B">
              <w:rPr>
                <w:rFonts w:ascii="Times New Roman" w:hAnsi="Times New Roman"/>
                <w:sz w:val="24"/>
                <w:szCs w:val="24"/>
              </w:rPr>
              <w:lastRenderedPageBreak/>
              <w:t>реподготовку и повышение квалификации кадров по профилю деятельности аттестуемого пед</w:t>
            </w:r>
            <w:r w:rsidR="005B1CCA" w:rsidRPr="00C3710B">
              <w:rPr>
                <w:rFonts w:ascii="Times New Roman" w:hAnsi="Times New Roman"/>
                <w:sz w:val="24"/>
                <w:szCs w:val="24"/>
              </w:rPr>
              <w:t>а</w:t>
            </w:r>
            <w:r w:rsidR="005B1CCA" w:rsidRPr="00C3710B">
              <w:rPr>
                <w:rFonts w:ascii="Times New Roman" w:hAnsi="Times New Roman"/>
                <w:sz w:val="24"/>
                <w:szCs w:val="24"/>
              </w:rPr>
              <w:t>гога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3.5.4.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научно-методических публикаций по проблемам образования и воспитания обуча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щихся, имеющих соответствующий гриф и выходные данные: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  <w:vAlign w:val="center"/>
          </w:tcPr>
          <w:p w:rsidR="00544FDA" w:rsidRPr="002F71A2" w:rsidRDefault="00544FDA" w:rsidP="003712F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44FDA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Непрерывность образования педагогического работника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544FDA" w:rsidRPr="002F71A2" w:rsidRDefault="00544FDA" w:rsidP="00E006FF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44FDA" w:rsidRPr="002F71A2" w:rsidRDefault="00544FDA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544FDA" w:rsidRPr="002F71A2" w:rsidRDefault="00544FDA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Повышает квалификацию и проходит обучение в различных формах: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дополнительным профессиональным образовательным программам по профилю преподав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емого предмета (направлению деятельности), включающим общетеоретический и предметно-технологический блоки, в объеме не менее 108 часов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стажировки, семинары, </w:t>
            </w:r>
            <w:proofErr w:type="spell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вебинары</w:t>
            </w:r>
            <w:proofErr w:type="spell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объеме не менее 48 часов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самообразование, включая участие в профессиональных </w:t>
            </w:r>
            <w:proofErr w:type="gram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конференциях</w:t>
            </w:r>
            <w:proofErr w:type="gram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круглых столах, 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тернет-форумах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реализует новые знания в практической деятельности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Признание профессиональным сообществом высокой квалификации педагогическ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работника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E006FF" w:rsidRPr="002F71A2" w:rsidRDefault="00E006FF" w:rsidP="00E006FF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деятельности аттестационных, экспертных комиссий, жюри, в судействе соревнов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ний: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C3710B" w:rsidRDefault="00E006FF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уровня образовательной организации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C3710B" w:rsidRDefault="00E006FF" w:rsidP="00E006FF">
            <w:pPr>
              <w:pStyle w:val="a3"/>
              <w:widowControl w:val="0"/>
              <w:spacing w:before="60" w:after="0" w:line="240" w:lineRule="exact"/>
              <w:ind w:left="0" w:firstLine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муниципального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C3710B" w:rsidRDefault="00E006FF" w:rsidP="00E006FF">
            <w:pPr>
              <w:pStyle w:val="a3"/>
              <w:widowControl w:val="0"/>
              <w:spacing w:before="60" w:after="0" w:line="240" w:lineRule="exact"/>
              <w:ind w:left="0" w:firstLine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C3710B" w:rsidRDefault="00E006FF" w:rsidP="00E006FF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"Награды и поощрения педагогического работника за личный вклад в повышение качества образования, успехи в профессиональной деятельности"</w:t>
            </w:r>
          </w:p>
          <w:p w:rsidR="00E006FF" w:rsidRPr="00C3710B" w:rsidRDefault="00E006FF" w:rsidP="00C3710B">
            <w:pPr>
              <w:widowControl w:val="0"/>
              <w:tabs>
                <w:tab w:val="left" w:pos="0"/>
              </w:tabs>
              <w:spacing w:before="60" w:after="0" w:line="240" w:lineRule="exact"/>
              <w:ind w:left="28" w:hanging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10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Максимальное количество баллов – 9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Имеет в межаттестационный период грамоты, поощрения, благодарственные письма по проф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 работы: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органов местного самоуправления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E006F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органов государственной власти (министерств, комитетов) Хабаровского края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006FF" w:rsidRPr="002F71A2" w:rsidRDefault="00E006F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E006FF" w:rsidRPr="002F71A2" w:rsidRDefault="00E006F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4 "Активное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цесса, профессиональных конкурсах"</w:t>
            </w:r>
          </w:p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Максимальное количество баллов – 41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Методическая работа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</w:p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Участвует в работе методических советов, объединений, педагогических советов: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tabs>
                <w:tab w:val="left" w:pos="0"/>
              </w:tabs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проявляет активность в работе методических советов, объединений, педагогических советов 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145B1E" w:rsidRPr="002F71A2" w:rsidRDefault="00145B1E" w:rsidP="005B1CCA">
            <w:pPr>
              <w:widowControl w:val="0"/>
              <w:spacing w:before="60" w:after="0" w:line="24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руководит деятельностью методических объединений, советов 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hanging="108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Является наставником молодых педагогов: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 единичные мероприятия по наставничеству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наставничество носит плановый и регулярный характер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Участвует в деятельности профессиональных клубов, ассоциаций, сетевых сообществах педаг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разработке программно-методического сопровождения образовательного процесса"</w:t>
            </w:r>
          </w:p>
          <w:p w:rsidR="00145B1E" w:rsidRPr="002F71A2" w:rsidRDefault="00145B1E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Разрабатывает программное обеспечение образовательного процесса: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разрабатывает календарно-тематическое планирование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участвует в разработке основной образовательной программы 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Разрабатывает продукты педагогической деятельности (программные, методические, дидакт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ческие материалы), прошедшие внешнюю экспертизу: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краевого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"Участие в профессиональных конкурсах"</w:t>
            </w:r>
          </w:p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заочных/дистанционных конкурсах (по использованию ИКТ; инновационных, м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тодических разработок; публикаций; педагогических инициатив) для педагогических работн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ков: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Поглощение </w:t>
            </w:r>
          </w:p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 или не участвует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45B1E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pStyle w:val="a3"/>
              <w:widowControl w:val="0"/>
              <w:spacing w:before="60" w:after="0" w:line="240" w:lineRule="exact"/>
              <w:ind w:left="0" w:firstLine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5B1E" w:rsidRPr="002F71A2" w:rsidRDefault="00145B1E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145B1E" w:rsidRPr="002F71A2" w:rsidRDefault="00145B1E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конкурсах профессионального мастерства "Учитель года", "Учитель года – побед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ПНПО", "Учитель родного языка", "Мастер года", "Преподаватель года", "Воспитатель г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да", "Педагог-психолог года", "Сердце отдаю детям", "Самый классный </w:t>
            </w:r>
            <w:proofErr w:type="spellStart"/>
            <w:proofErr w:type="gram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proofErr w:type="gram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 (при участии в одном конкурсе)</w:t>
            </w:r>
          </w:p>
          <w:p w:rsidR="003409BF" w:rsidRPr="002F71A2" w:rsidRDefault="003409BF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или </w:t>
            </w:r>
          </w:p>
          <w:p w:rsidR="003409BF" w:rsidRPr="002F71A2" w:rsidRDefault="003409BF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 (при участии в разных конку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сах)</w:t>
            </w: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показатель не раскрыт или не участвует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является призёром конкурса в 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является победителем конкурса в образовательной организации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является участником муниципального этапа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является призёром муниципального этапа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является победителем муниципального этапа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является участником краевого этапа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является призёром краевого этапа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5 "Личностные и профессиональные качества педагогического работника"</w:t>
            </w:r>
          </w:p>
          <w:p w:rsidR="003409BF" w:rsidRPr="002F71A2" w:rsidRDefault="003409BF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- 10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Профессиональная культура педагогического работника"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результатам диагн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стики)</w:t>
            </w:r>
          </w:p>
          <w:p w:rsidR="003409BF" w:rsidRPr="002F71A2" w:rsidRDefault="003409BF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proofErr w:type="spell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взаимодействии с участниками образовательного процесса: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показатель не раскрыт или имеет низкий уровень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высокий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толерантности в отношениях: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показатель не раскрыт или имеет низкий уровень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ниже среднего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высокий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Уровень проявления конфликтности в отношениях: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показатель не раскрыт или имеет высокий уровень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средний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низкий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</w:t>
            </w:r>
            <w:r w:rsidRPr="002F71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родителей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организацией и содержанием образовательного процесса, орган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зуемого аттестуемым педагогическим работником: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показатель не раскрыт или менее 70 %</w:t>
            </w:r>
            <w:r w:rsidRPr="002F71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родителей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менее 70 %</w:t>
            </w:r>
            <w:r w:rsidRPr="002F71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родителей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 менее 90 %</w:t>
            </w:r>
            <w:r w:rsidRPr="002F71A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родителей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Показатель "Социальная активность педагогического работника, участие в решении обществе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ных проблем"</w:t>
            </w:r>
          </w:p>
          <w:p w:rsidR="003409BF" w:rsidRPr="002F71A2" w:rsidRDefault="003409BF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деятельности органов государственно-общественного управления образовательной организации, местного самоуправления, общественных организаций, объединений, волонте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 движении (член попечительского/управляющего совета, совета трудового коллектива, профсоюзный активист, председатель/член совета микрорайона, депутат совета, член избир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комиссии, общественной палаты) (деятельность должна быть связана с соответству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направлениями работы)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409BF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3409BF" w:rsidRPr="002F71A2" w:rsidRDefault="003409BF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муниципального уровня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409BF" w:rsidRPr="002F71A2" w:rsidRDefault="003409BF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3409BF" w:rsidRPr="002F71A2" w:rsidRDefault="003409BF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"Профессиональная компетентность педагогического работника в области информ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ционной основы деятельности, постановке и достижении педагогических задач при реализации образовательной программы на уроке (учебном занятии, воспитательном, методическом и др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гих мероприятиях)"</w:t>
            </w:r>
          </w:p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Максимальное количество баллов – 70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Показатель "Знания педагогического работника в области государственной образовательной п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литики, педагогики, психологии, методики преподавания и содержания предмета (направления деятельности)"</w:t>
            </w:r>
          </w:p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Максимальное количество баллов  – 40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квалификационного экзамена (удостоверение представляется педагогическим рабо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ником, прошедшим квалификационный экзамен с 01 сентября 2013 г. по 30 мая 2014 г.):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менее 60 % от максимально возможной суммы баллов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 менее 80 % от максимально возможной суммы баллов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"Постановка педагогических задач при реализации образовательной программы в образовательной деятельности (на примере конспекта непосредственно образовательной де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тельности)"</w:t>
            </w:r>
          </w:p>
          <w:p w:rsidR="0089124C" w:rsidRPr="002F71A2" w:rsidRDefault="0089124C" w:rsidP="002F71A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5</w:t>
            </w:r>
          </w:p>
          <w:p w:rsidR="0089124C" w:rsidRPr="002F71A2" w:rsidRDefault="0089124C" w:rsidP="002F71A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баллов – показатель не раскрыт</w:t>
            </w:r>
          </w:p>
          <w:p w:rsidR="0089124C" w:rsidRPr="002F71A2" w:rsidRDefault="0089124C" w:rsidP="002F71A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89124C" w:rsidRPr="002F71A2" w:rsidRDefault="0089124C" w:rsidP="002F71A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Педагог при подготовке к непосредственно образовательной деятельности: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ставит цели, направленные на ожидаемый и диагностируемый результат обучения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hanging="34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ставит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цели, соответствующие психофизическим возможностям, способностям, потребностям воспитанников данного возраста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hanging="34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представляет задачи </w:t>
            </w:r>
            <w:r w:rsidRPr="002F71A2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как систему действий п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дагога по достижению цели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hanging="34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ставит задачи, структурирующие и организующие деятельность воспитанников на каждом из этапов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 вводном, основном, обобщающем и заключительном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планирует использование методических приемов, заданий, направленных на мотивирование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</w:t>
            </w:r>
            <w:r w:rsidRPr="002F7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"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Компетентность педагогического работника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реализации образовательной пр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граммы 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(на примере видеозаписи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 образовательной деятельности</w:t>
            </w: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)"</w:t>
            </w:r>
          </w:p>
          <w:p w:rsidR="0089124C" w:rsidRPr="002F71A2" w:rsidRDefault="0089124C" w:rsidP="002F71A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–25</w:t>
            </w:r>
          </w:p>
          <w:p w:rsidR="0089124C" w:rsidRPr="002F71A2" w:rsidRDefault="0089124C" w:rsidP="002F71A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баллов – показатель не раскрыт</w:t>
            </w:r>
          </w:p>
          <w:p w:rsidR="0089124C" w:rsidRPr="002F71A2" w:rsidRDefault="0089124C" w:rsidP="002F71A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0,5 баллов – информация частично соответствует показателю</w:t>
            </w:r>
          </w:p>
          <w:p w:rsidR="0089124C" w:rsidRPr="002F71A2" w:rsidRDefault="0089124C" w:rsidP="002F71A2">
            <w:pPr>
              <w:widowControl w:val="0"/>
              <w:tabs>
                <w:tab w:val="left" w:pos="0"/>
                <w:tab w:val="left" w:pos="465"/>
              </w:tabs>
              <w:spacing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6.3.1.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Компетентность педагога в области постановки цели и задач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autoSpaceDE w:val="0"/>
              <w:autoSpaceDN w:val="0"/>
              <w:adjustRightInd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- соответствие цели психофизическим возможностям, способностям, потребностям воспитанн</w:t>
            </w:r>
            <w:r w:rsidRPr="002F71A2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>ков  данного возраста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поставленные перед воспитанниками цели способствуют формированию интереса к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 образовательной деятельности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autoSpaceDE w:val="0"/>
              <w:autoSpaceDN w:val="0"/>
              <w:adjustRightInd w:val="0"/>
              <w:spacing w:before="60" w:after="0" w:line="240" w:lineRule="exac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eastAsia="TimesNewRoman" w:hAnsi="Times New Roman"/>
                <w:color w:val="000000" w:themeColor="text1"/>
                <w:sz w:val="24"/>
                <w:szCs w:val="24"/>
              </w:rPr>
              <w:t xml:space="preserve">поставленные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цели направлены на диагностируемый результат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непосредственно образовател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деятельности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обсуждает с воспитанниками план действий по реализации цели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демонстрирует реализацию цели в этапах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как систему действий педагога и воспитанников по ее достижению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Компетентность педагога в области мотивирования воспитанников: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организует постановку воспитанниками цели своей деятельности в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деятельности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предлагает задания, 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способствующие актуализации  воспитанниками имеющихся знаний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предлагает задания, способствующие актуализации  личностного опыта и пониманию огран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ченности имеющихся у воспитанников умений для решения поставленной задачи или  проблемы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умеет создавать ситуации, обеспечивающие воспитанникам успешность в деятельности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поддерживает интерес к познанию посредством организации </w:t>
            </w:r>
            <w:proofErr w:type="spell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воспитанником степени достижения цели его деятельности в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Компетентность педагога в предмете преподавания (уровень владения  материалом):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демонстрирует знание основ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изучаемого материала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</w:t>
            </w:r>
            <w:r w:rsidR="007B4DF8"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емонстрирует целостное видение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данной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как элемента всей темы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показывает связь 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темы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 с вопросами из других областей, смежных дисциплин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качестве источников информации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привлекает различные тексты, электронные образовател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ные, человеческие ресурсы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демонстрирует использование воспитанниками инструментов преобразования информации в индивидуальной и коммуникативной деятельности при работе с различными источниками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Компетентность педагога в методах преподавания/воспитания (уровень методической грамотн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сти):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- используемые в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непосредственно образовательной деятельности 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методы обучения соотве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ствуют поставленным целям и задачам, содержанию изучаемого материала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умеет включить в активную продуктивную (частично-поисковую, проблемную, творческую) деятельность всех воспитанников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владеет методами рационального сочетания индивидуальной, парной, коллективной, групп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вой  форм деятельности воспитанников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использует </w:t>
            </w:r>
            <w:proofErr w:type="spellStart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технологии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организует рефлексию воспитанников относительно поставленной ими 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цели своей деятельн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6.3.5.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 xml:space="preserve">Компетентность педагога в области профессионально-педагогической позиции и личностных качеств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Суммирование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демонстрирует демократический стиль в  общении с воспитанниками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проявляет искренний интерес к позиции каждого воспитанника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autoSpaceDE w:val="0"/>
              <w:autoSpaceDN w:val="0"/>
              <w:adjustRightInd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высказывания педагога построены грамотно и доступны для понимания, его отличает высокая культура речи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- обеспечивает направленность деятельности каждого воспитанника на развитие личностных к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честв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E006FF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характер организуемых отношений в ходе 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образовательной деятельности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ответствует воспитательным задачам, возрастным особенностям и уровню развития коллектива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 / 0,5 / 1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Критерий 7 "Высокие сертифицированные достижения педагогического работника"</w:t>
            </w:r>
          </w:p>
          <w:p w:rsidR="0089124C" w:rsidRPr="002F71A2" w:rsidRDefault="0089124C" w:rsidP="005B1CCA">
            <w:pPr>
              <w:spacing w:before="60"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Достаточное максимальное количество баллов – 120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"Поощрения за активное участие в развитии и совершенствовании системы образ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Российской Федерации и/или Хабаровского края"</w:t>
            </w:r>
          </w:p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в межаттестационный период ведомственными (отраслевыми) наградами Мин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стерства образования и науки Российской Федерации, Министерства культуры Российской Ф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дерации, Министерства спорта Российской Федерации, Министерства здравоохранения Росси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41" w:type="dxa"/>
            <w:vMerge w:val="restart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Поглощение</w:t>
            </w: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Присвоение в межаттестационный период почетных званий Министерства образования и науки Российской Федерации, Министерства культуры Российской Федерации, Министерства спорта Российской Федерации, Министерства здравоохранения Российской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в межаттестационный период государственными наградами Правительства Ро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по профилю работы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7.1.4.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Награждение в межаттестационный период наградами Правительства Хабаровского края (п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мятный знак Правительства Хабаровского края "Заслуженный работник образования Хабаро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края", "Заслуженный работник здравоохранения Хабаровского края", почетный знак Пр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вительства Хабаровского края "За заслуги" им. Н.Н. Муравьёва-Амурского")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7.1.5.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Награждение в межаттестационный период Почетной грамотой, Благодарностью </w:t>
            </w:r>
            <w:r w:rsidR="007B4DF8"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Правительства, </w:t>
            </w: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Губернатора Хабаровского края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41" w:type="dxa"/>
            <w:vMerge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"Достижения в профессиональных конкурсах"</w:t>
            </w:r>
          </w:p>
          <w:p w:rsidR="0089124C" w:rsidRPr="002F71A2" w:rsidRDefault="0089124C" w:rsidP="005B1CCA">
            <w:pPr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120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победителем краевого этапа Всероссийских конкурсов профессионального мастерства: "Учитель года", "Учитель года – победитель ПНПО", "Учитель родного языка", "Мастер года", "Преподаватель года", "Воспитатель года", "Педагог-психолог года", "Сердце отдаю детям"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60 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7.2.2.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победителем заключительного этапа Всероссийских конкурсов профессионального мастерства: "Учитель года", "Учитель года – победитель ПНПО", "Учитель родного языка", "Мастер года", "Преподаватель года", "Воспитатель года", "Педагог-психолог года", "Сердце отдаю детям"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120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pStyle w:val="a3"/>
              <w:widowControl w:val="0"/>
              <w:spacing w:before="60" w:after="0" w:line="240" w:lineRule="exact"/>
              <w:ind w:left="0" w:firstLine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"Повышение квалификации в инновационных формах"</w:t>
            </w:r>
          </w:p>
          <w:p w:rsidR="0089124C" w:rsidRPr="002F71A2" w:rsidRDefault="0089124C" w:rsidP="005B1CCA">
            <w:pPr>
              <w:widowControl w:val="0"/>
              <w:spacing w:before="60"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Максимальное количество баллов – 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9124C" w:rsidRPr="002F71A2" w:rsidTr="002F71A2">
        <w:trPr>
          <w:trHeight w:val="20"/>
          <w:jc w:val="center"/>
        </w:trPr>
        <w:tc>
          <w:tcPr>
            <w:tcW w:w="850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7.3.1.</w:t>
            </w:r>
          </w:p>
        </w:tc>
        <w:tc>
          <w:tcPr>
            <w:tcW w:w="10205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ind w:hanging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Окончание курсов повышенного уровня на базе КГБОУ ДПО ХК ИРО с итоговой аттестацией в форме разработки инновационного педагогического продукта 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9124C" w:rsidRPr="002F71A2" w:rsidRDefault="0089124C" w:rsidP="005B1CCA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F71A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41" w:type="dxa"/>
            <w:tcMar>
              <w:top w:w="57" w:type="dxa"/>
              <w:bottom w:w="57" w:type="dxa"/>
            </w:tcMar>
          </w:tcPr>
          <w:p w:rsidR="0089124C" w:rsidRPr="002F71A2" w:rsidRDefault="0089124C" w:rsidP="001C01C8">
            <w:pPr>
              <w:widowControl w:val="0"/>
              <w:spacing w:after="0" w:line="240" w:lineRule="exact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4674D2" w:rsidRPr="002F71A2" w:rsidRDefault="004674D2">
      <w:pPr>
        <w:rPr>
          <w:rFonts w:ascii="Times New Roman" w:hAnsi="Times New Roman" w:cs="Times New Roman"/>
          <w:sz w:val="24"/>
          <w:szCs w:val="24"/>
        </w:rPr>
      </w:pPr>
    </w:p>
    <w:p w:rsidR="00C771C6" w:rsidRDefault="00C771C6" w:rsidP="000E54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477" w:rsidRDefault="000E5477" w:rsidP="000E547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аттестации и </w:t>
      </w:r>
    </w:p>
    <w:p w:rsidR="00625887" w:rsidRPr="000E5477" w:rsidRDefault="000E5477" w:rsidP="000E547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квалификации</w:t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0E5477">
        <w:rPr>
          <w:rFonts w:ascii="Times New Roman" w:hAnsi="Times New Roman" w:cs="Times New Roman"/>
          <w:color w:val="000000" w:themeColor="text1"/>
          <w:sz w:val="28"/>
          <w:szCs w:val="28"/>
        </w:rPr>
        <w:t>О.Л. Просекова</w:t>
      </w:r>
    </w:p>
    <w:sectPr w:rsidR="00625887" w:rsidRPr="000E5477" w:rsidSect="002F71A2">
      <w:headerReference w:type="default" r:id="rId9"/>
      <w:headerReference w:type="first" r:id="rId10"/>
      <w:pgSz w:w="16838" w:h="11906" w:orient="landscape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A2" w:rsidRDefault="002F71A2" w:rsidP="001E0810">
      <w:pPr>
        <w:spacing w:after="0" w:line="240" w:lineRule="auto"/>
      </w:pPr>
      <w:r>
        <w:separator/>
      </w:r>
    </w:p>
  </w:endnote>
  <w:endnote w:type="continuationSeparator" w:id="0">
    <w:p w:rsidR="002F71A2" w:rsidRDefault="002F71A2" w:rsidP="001E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A2" w:rsidRDefault="002F71A2" w:rsidP="001E0810">
      <w:pPr>
        <w:spacing w:after="0" w:line="240" w:lineRule="auto"/>
      </w:pPr>
      <w:r>
        <w:separator/>
      </w:r>
    </w:p>
  </w:footnote>
  <w:footnote w:type="continuationSeparator" w:id="0">
    <w:p w:rsidR="002F71A2" w:rsidRDefault="002F71A2" w:rsidP="001E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004"/>
      <w:docPartObj>
        <w:docPartGallery w:val="Page Numbers (Top of Page)"/>
        <w:docPartUnique/>
      </w:docPartObj>
    </w:sdtPr>
    <w:sdtEndPr/>
    <w:sdtContent>
      <w:p w:rsidR="002F71A2" w:rsidRDefault="002F71A2">
        <w:pPr>
          <w:pStyle w:val="a9"/>
          <w:jc w:val="center"/>
        </w:pPr>
        <w:r w:rsidRPr="00775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5D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5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B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75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71A2" w:rsidRDefault="002F71A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A2" w:rsidRPr="005B1CCA" w:rsidRDefault="002F71A2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2F71A2" w:rsidRDefault="002F71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08B"/>
    <w:multiLevelType w:val="hybridMultilevel"/>
    <w:tmpl w:val="43A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C4F5E"/>
    <w:multiLevelType w:val="hybridMultilevel"/>
    <w:tmpl w:val="2AAC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82656"/>
    <w:multiLevelType w:val="hybridMultilevel"/>
    <w:tmpl w:val="609E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977F1"/>
    <w:multiLevelType w:val="hybridMultilevel"/>
    <w:tmpl w:val="402E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E4778"/>
    <w:multiLevelType w:val="hybridMultilevel"/>
    <w:tmpl w:val="6B24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9D7"/>
    <w:rsid w:val="00001061"/>
    <w:rsid w:val="000042D5"/>
    <w:rsid w:val="000046BF"/>
    <w:rsid w:val="000067C2"/>
    <w:rsid w:val="00006B17"/>
    <w:rsid w:val="00011DB4"/>
    <w:rsid w:val="00034632"/>
    <w:rsid w:val="00037B5B"/>
    <w:rsid w:val="00040AB1"/>
    <w:rsid w:val="000416D3"/>
    <w:rsid w:val="000425C2"/>
    <w:rsid w:val="00043132"/>
    <w:rsid w:val="00043A9F"/>
    <w:rsid w:val="00046673"/>
    <w:rsid w:val="000524B1"/>
    <w:rsid w:val="00052E26"/>
    <w:rsid w:val="0005594C"/>
    <w:rsid w:val="00055EF4"/>
    <w:rsid w:val="000806E0"/>
    <w:rsid w:val="00081983"/>
    <w:rsid w:val="00086056"/>
    <w:rsid w:val="00094488"/>
    <w:rsid w:val="000B4BA4"/>
    <w:rsid w:val="000C1924"/>
    <w:rsid w:val="000C7DCA"/>
    <w:rsid w:val="000D0412"/>
    <w:rsid w:val="000D0910"/>
    <w:rsid w:val="000D386F"/>
    <w:rsid w:val="000D6BC8"/>
    <w:rsid w:val="000E1F04"/>
    <w:rsid w:val="000E3020"/>
    <w:rsid w:val="000E5477"/>
    <w:rsid w:val="000E6183"/>
    <w:rsid w:val="000E6EA7"/>
    <w:rsid w:val="000F0F8F"/>
    <w:rsid w:val="000F4F6F"/>
    <w:rsid w:val="000F7668"/>
    <w:rsid w:val="000F7A1D"/>
    <w:rsid w:val="00101584"/>
    <w:rsid w:val="001065AF"/>
    <w:rsid w:val="00143CD5"/>
    <w:rsid w:val="00144CFC"/>
    <w:rsid w:val="00145B1E"/>
    <w:rsid w:val="00145E54"/>
    <w:rsid w:val="00146090"/>
    <w:rsid w:val="00152F3C"/>
    <w:rsid w:val="00164CBA"/>
    <w:rsid w:val="0016539E"/>
    <w:rsid w:val="00166E5E"/>
    <w:rsid w:val="001723B1"/>
    <w:rsid w:val="00174035"/>
    <w:rsid w:val="00185F68"/>
    <w:rsid w:val="00190B52"/>
    <w:rsid w:val="001958B6"/>
    <w:rsid w:val="001A1448"/>
    <w:rsid w:val="001A5695"/>
    <w:rsid w:val="001A787E"/>
    <w:rsid w:val="001C01C8"/>
    <w:rsid w:val="001C2534"/>
    <w:rsid w:val="001C51FD"/>
    <w:rsid w:val="001C555A"/>
    <w:rsid w:val="001C681A"/>
    <w:rsid w:val="001C6985"/>
    <w:rsid w:val="001D0293"/>
    <w:rsid w:val="001D5202"/>
    <w:rsid w:val="001D6B4C"/>
    <w:rsid w:val="001E0810"/>
    <w:rsid w:val="001E1DFE"/>
    <w:rsid w:val="001E1F91"/>
    <w:rsid w:val="001E37C7"/>
    <w:rsid w:val="001E41DA"/>
    <w:rsid w:val="001E4C5D"/>
    <w:rsid w:val="001F2F19"/>
    <w:rsid w:val="001F5F2F"/>
    <w:rsid w:val="001F6301"/>
    <w:rsid w:val="00203A05"/>
    <w:rsid w:val="002079A8"/>
    <w:rsid w:val="00216392"/>
    <w:rsid w:val="00216A9C"/>
    <w:rsid w:val="00216B48"/>
    <w:rsid w:val="00217C9C"/>
    <w:rsid w:val="00223486"/>
    <w:rsid w:val="00224460"/>
    <w:rsid w:val="002330E9"/>
    <w:rsid w:val="002340E6"/>
    <w:rsid w:val="002342DC"/>
    <w:rsid w:val="00246D05"/>
    <w:rsid w:val="00247BD9"/>
    <w:rsid w:val="00250BC2"/>
    <w:rsid w:val="002537AC"/>
    <w:rsid w:val="002620A2"/>
    <w:rsid w:val="00262A3D"/>
    <w:rsid w:val="00265C4D"/>
    <w:rsid w:val="002737C2"/>
    <w:rsid w:val="0028057C"/>
    <w:rsid w:val="00280E85"/>
    <w:rsid w:val="0029041A"/>
    <w:rsid w:val="00294E5E"/>
    <w:rsid w:val="002A1993"/>
    <w:rsid w:val="002A2E2E"/>
    <w:rsid w:val="002A6775"/>
    <w:rsid w:val="002B126B"/>
    <w:rsid w:val="002B2EAC"/>
    <w:rsid w:val="002B31A4"/>
    <w:rsid w:val="002B4117"/>
    <w:rsid w:val="002B5F23"/>
    <w:rsid w:val="002D0D9F"/>
    <w:rsid w:val="002D378B"/>
    <w:rsid w:val="002D4598"/>
    <w:rsid w:val="002E0C72"/>
    <w:rsid w:val="002E14FA"/>
    <w:rsid w:val="002E27D5"/>
    <w:rsid w:val="002E62A1"/>
    <w:rsid w:val="002E77AD"/>
    <w:rsid w:val="002F2384"/>
    <w:rsid w:val="002F6D19"/>
    <w:rsid w:val="002F71A2"/>
    <w:rsid w:val="003006A7"/>
    <w:rsid w:val="00301F55"/>
    <w:rsid w:val="00304A0A"/>
    <w:rsid w:val="0030763A"/>
    <w:rsid w:val="00313E36"/>
    <w:rsid w:val="00320A0D"/>
    <w:rsid w:val="00321B6E"/>
    <w:rsid w:val="0032286D"/>
    <w:rsid w:val="00325840"/>
    <w:rsid w:val="0032704E"/>
    <w:rsid w:val="003316C6"/>
    <w:rsid w:val="00332426"/>
    <w:rsid w:val="0033533A"/>
    <w:rsid w:val="00335BF5"/>
    <w:rsid w:val="0033658E"/>
    <w:rsid w:val="00337964"/>
    <w:rsid w:val="003409BF"/>
    <w:rsid w:val="003412F6"/>
    <w:rsid w:val="00341AF2"/>
    <w:rsid w:val="003500CC"/>
    <w:rsid w:val="0035394E"/>
    <w:rsid w:val="00355F91"/>
    <w:rsid w:val="0035755E"/>
    <w:rsid w:val="00360A45"/>
    <w:rsid w:val="00363821"/>
    <w:rsid w:val="00363D60"/>
    <w:rsid w:val="00370852"/>
    <w:rsid w:val="003712FC"/>
    <w:rsid w:val="00373A54"/>
    <w:rsid w:val="0037795E"/>
    <w:rsid w:val="00380313"/>
    <w:rsid w:val="00391C62"/>
    <w:rsid w:val="003A13C1"/>
    <w:rsid w:val="003A6EF2"/>
    <w:rsid w:val="003B18D3"/>
    <w:rsid w:val="003B6764"/>
    <w:rsid w:val="003B7E0F"/>
    <w:rsid w:val="003C2121"/>
    <w:rsid w:val="003D3573"/>
    <w:rsid w:val="003E3792"/>
    <w:rsid w:val="003E781B"/>
    <w:rsid w:val="003E7FE7"/>
    <w:rsid w:val="00400037"/>
    <w:rsid w:val="00401D81"/>
    <w:rsid w:val="00403556"/>
    <w:rsid w:val="00415B12"/>
    <w:rsid w:val="004210C5"/>
    <w:rsid w:val="00422219"/>
    <w:rsid w:val="00426CE3"/>
    <w:rsid w:val="00430C9A"/>
    <w:rsid w:val="00431154"/>
    <w:rsid w:val="00431EBA"/>
    <w:rsid w:val="004325B5"/>
    <w:rsid w:val="00435591"/>
    <w:rsid w:val="00450B7B"/>
    <w:rsid w:val="00452441"/>
    <w:rsid w:val="004526DD"/>
    <w:rsid w:val="00462000"/>
    <w:rsid w:val="00464544"/>
    <w:rsid w:val="00467044"/>
    <w:rsid w:val="004674D2"/>
    <w:rsid w:val="004719D7"/>
    <w:rsid w:val="00472D2B"/>
    <w:rsid w:val="00474015"/>
    <w:rsid w:val="0048090B"/>
    <w:rsid w:val="00482617"/>
    <w:rsid w:val="004827CF"/>
    <w:rsid w:val="004905D1"/>
    <w:rsid w:val="00495BEF"/>
    <w:rsid w:val="004973D9"/>
    <w:rsid w:val="004A2AF6"/>
    <w:rsid w:val="004A6CEE"/>
    <w:rsid w:val="004B4DAB"/>
    <w:rsid w:val="004B6316"/>
    <w:rsid w:val="004C40F3"/>
    <w:rsid w:val="004C700D"/>
    <w:rsid w:val="004D32C4"/>
    <w:rsid w:val="004D3CFA"/>
    <w:rsid w:val="004D46CC"/>
    <w:rsid w:val="004D5B5F"/>
    <w:rsid w:val="004F55BC"/>
    <w:rsid w:val="00501410"/>
    <w:rsid w:val="00513BCB"/>
    <w:rsid w:val="005252B9"/>
    <w:rsid w:val="00527B51"/>
    <w:rsid w:val="0053269E"/>
    <w:rsid w:val="00544FDA"/>
    <w:rsid w:val="00560482"/>
    <w:rsid w:val="00563630"/>
    <w:rsid w:val="00566847"/>
    <w:rsid w:val="005674D4"/>
    <w:rsid w:val="00567E0D"/>
    <w:rsid w:val="00567FB3"/>
    <w:rsid w:val="005714B6"/>
    <w:rsid w:val="0057155D"/>
    <w:rsid w:val="00572462"/>
    <w:rsid w:val="00581FC1"/>
    <w:rsid w:val="0058415D"/>
    <w:rsid w:val="00584280"/>
    <w:rsid w:val="00584E11"/>
    <w:rsid w:val="00584E82"/>
    <w:rsid w:val="005855B5"/>
    <w:rsid w:val="00586727"/>
    <w:rsid w:val="00594C45"/>
    <w:rsid w:val="00596114"/>
    <w:rsid w:val="005A18DF"/>
    <w:rsid w:val="005A4816"/>
    <w:rsid w:val="005A4CD4"/>
    <w:rsid w:val="005A6AF0"/>
    <w:rsid w:val="005B0251"/>
    <w:rsid w:val="005B11B3"/>
    <w:rsid w:val="005B1CCA"/>
    <w:rsid w:val="005B20D8"/>
    <w:rsid w:val="005B79F4"/>
    <w:rsid w:val="005C0794"/>
    <w:rsid w:val="005C2B08"/>
    <w:rsid w:val="005C51FB"/>
    <w:rsid w:val="005C609A"/>
    <w:rsid w:val="005D6516"/>
    <w:rsid w:val="005D6F03"/>
    <w:rsid w:val="005E17AC"/>
    <w:rsid w:val="005E1D38"/>
    <w:rsid w:val="005E3722"/>
    <w:rsid w:val="005E6F1F"/>
    <w:rsid w:val="005F4D1C"/>
    <w:rsid w:val="00604C6D"/>
    <w:rsid w:val="00610214"/>
    <w:rsid w:val="00613F0D"/>
    <w:rsid w:val="006163C2"/>
    <w:rsid w:val="0062364A"/>
    <w:rsid w:val="00623F08"/>
    <w:rsid w:val="00624B67"/>
    <w:rsid w:val="00625887"/>
    <w:rsid w:val="00630F4B"/>
    <w:rsid w:val="006315B1"/>
    <w:rsid w:val="00631D27"/>
    <w:rsid w:val="00632DC7"/>
    <w:rsid w:val="00633C7F"/>
    <w:rsid w:val="00636FAF"/>
    <w:rsid w:val="00637C3C"/>
    <w:rsid w:val="0066260D"/>
    <w:rsid w:val="00667B3F"/>
    <w:rsid w:val="006757B1"/>
    <w:rsid w:val="00676701"/>
    <w:rsid w:val="006834E8"/>
    <w:rsid w:val="00683E62"/>
    <w:rsid w:val="00686B25"/>
    <w:rsid w:val="00690F46"/>
    <w:rsid w:val="006978A0"/>
    <w:rsid w:val="006A01A3"/>
    <w:rsid w:val="006A1A7E"/>
    <w:rsid w:val="006A26F5"/>
    <w:rsid w:val="006A37F9"/>
    <w:rsid w:val="006A73D4"/>
    <w:rsid w:val="006B3ABB"/>
    <w:rsid w:val="006C6112"/>
    <w:rsid w:val="006D4D21"/>
    <w:rsid w:val="006D5B5B"/>
    <w:rsid w:val="006D76AB"/>
    <w:rsid w:val="006E06EB"/>
    <w:rsid w:val="006E1B36"/>
    <w:rsid w:val="006E2040"/>
    <w:rsid w:val="006E5D29"/>
    <w:rsid w:val="006F1655"/>
    <w:rsid w:val="006F424D"/>
    <w:rsid w:val="00702959"/>
    <w:rsid w:val="00705203"/>
    <w:rsid w:val="00712A61"/>
    <w:rsid w:val="007139E1"/>
    <w:rsid w:val="00714884"/>
    <w:rsid w:val="00717440"/>
    <w:rsid w:val="007207CA"/>
    <w:rsid w:val="007234FE"/>
    <w:rsid w:val="00730CD0"/>
    <w:rsid w:val="00732E3D"/>
    <w:rsid w:val="00735AC4"/>
    <w:rsid w:val="00737039"/>
    <w:rsid w:val="0074737E"/>
    <w:rsid w:val="0075399D"/>
    <w:rsid w:val="00755891"/>
    <w:rsid w:val="00760F4F"/>
    <w:rsid w:val="00764498"/>
    <w:rsid w:val="00770797"/>
    <w:rsid w:val="00775D6F"/>
    <w:rsid w:val="0077624C"/>
    <w:rsid w:val="007815FD"/>
    <w:rsid w:val="00790C7E"/>
    <w:rsid w:val="00790E31"/>
    <w:rsid w:val="007941D0"/>
    <w:rsid w:val="0079762A"/>
    <w:rsid w:val="007A06F4"/>
    <w:rsid w:val="007A4BCB"/>
    <w:rsid w:val="007A4E41"/>
    <w:rsid w:val="007A66A6"/>
    <w:rsid w:val="007A6DE9"/>
    <w:rsid w:val="007A7757"/>
    <w:rsid w:val="007B4DF8"/>
    <w:rsid w:val="007C07BE"/>
    <w:rsid w:val="007D03CD"/>
    <w:rsid w:val="007E2AA5"/>
    <w:rsid w:val="007E3B11"/>
    <w:rsid w:val="007E625E"/>
    <w:rsid w:val="007F2AEB"/>
    <w:rsid w:val="0080294E"/>
    <w:rsid w:val="0080359F"/>
    <w:rsid w:val="00805858"/>
    <w:rsid w:val="00805B84"/>
    <w:rsid w:val="008071DB"/>
    <w:rsid w:val="00810F45"/>
    <w:rsid w:val="0081792A"/>
    <w:rsid w:val="00817C9C"/>
    <w:rsid w:val="008261DE"/>
    <w:rsid w:val="008265E0"/>
    <w:rsid w:val="0082712F"/>
    <w:rsid w:val="0083316E"/>
    <w:rsid w:val="0083451B"/>
    <w:rsid w:val="00836265"/>
    <w:rsid w:val="00837F16"/>
    <w:rsid w:val="00841A6F"/>
    <w:rsid w:val="008424BE"/>
    <w:rsid w:val="00845B72"/>
    <w:rsid w:val="00846D4B"/>
    <w:rsid w:val="00847F0E"/>
    <w:rsid w:val="00865652"/>
    <w:rsid w:val="00872E8B"/>
    <w:rsid w:val="00876CDE"/>
    <w:rsid w:val="00876D5F"/>
    <w:rsid w:val="00877BA0"/>
    <w:rsid w:val="008850CC"/>
    <w:rsid w:val="0089124C"/>
    <w:rsid w:val="008A4577"/>
    <w:rsid w:val="008B4E4E"/>
    <w:rsid w:val="008B54D2"/>
    <w:rsid w:val="008B5BDB"/>
    <w:rsid w:val="008B5D6F"/>
    <w:rsid w:val="008D29D7"/>
    <w:rsid w:val="008D4900"/>
    <w:rsid w:val="008D6DD0"/>
    <w:rsid w:val="008D74AA"/>
    <w:rsid w:val="008D79F2"/>
    <w:rsid w:val="008E2103"/>
    <w:rsid w:val="008E373A"/>
    <w:rsid w:val="008E4D9E"/>
    <w:rsid w:val="008E5EF1"/>
    <w:rsid w:val="008E7D90"/>
    <w:rsid w:val="008F020A"/>
    <w:rsid w:val="008F1608"/>
    <w:rsid w:val="009003A6"/>
    <w:rsid w:val="009039AF"/>
    <w:rsid w:val="00903C66"/>
    <w:rsid w:val="0090559C"/>
    <w:rsid w:val="00907CF9"/>
    <w:rsid w:val="0091106B"/>
    <w:rsid w:val="00920AF5"/>
    <w:rsid w:val="00921AE7"/>
    <w:rsid w:val="00930662"/>
    <w:rsid w:val="009306D0"/>
    <w:rsid w:val="009422D6"/>
    <w:rsid w:val="00946462"/>
    <w:rsid w:val="00952CF8"/>
    <w:rsid w:val="00953E90"/>
    <w:rsid w:val="0095485D"/>
    <w:rsid w:val="00954F58"/>
    <w:rsid w:val="00957CC2"/>
    <w:rsid w:val="009605C1"/>
    <w:rsid w:val="009624C1"/>
    <w:rsid w:val="0096422D"/>
    <w:rsid w:val="0097382E"/>
    <w:rsid w:val="00974F8F"/>
    <w:rsid w:val="00982007"/>
    <w:rsid w:val="009863CC"/>
    <w:rsid w:val="009875DA"/>
    <w:rsid w:val="00987DC6"/>
    <w:rsid w:val="009A15D7"/>
    <w:rsid w:val="009A3C43"/>
    <w:rsid w:val="009B1401"/>
    <w:rsid w:val="009B5984"/>
    <w:rsid w:val="009B79F0"/>
    <w:rsid w:val="009C7735"/>
    <w:rsid w:val="009D15D4"/>
    <w:rsid w:val="009D2C25"/>
    <w:rsid w:val="009D4446"/>
    <w:rsid w:val="009E038F"/>
    <w:rsid w:val="009E54C4"/>
    <w:rsid w:val="009E78B6"/>
    <w:rsid w:val="009F3706"/>
    <w:rsid w:val="009F3B76"/>
    <w:rsid w:val="009F6674"/>
    <w:rsid w:val="00A00161"/>
    <w:rsid w:val="00A018F7"/>
    <w:rsid w:val="00A15EFD"/>
    <w:rsid w:val="00A1786E"/>
    <w:rsid w:val="00A20F19"/>
    <w:rsid w:val="00A212C4"/>
    <w:rsid w:val="00A302A4"/>
    <w:rsid w:val="00A37520"/>
    <w:rsid w:val="00A403EB"/>
    <w:rsid w:val="00A4452C"/>
    <w:rsid w:val="00A45095"/>
    <w:rsid w:val="00A47AE8"/>
    <w:rsid w:val="00A55139"/>
    <w:rsid w:val="00A62969"/>
    <w:rsid w:val="00A65659"/>
    <w:rsid w:val="00A70516"/>
    <w:rsid w:val="00A73B95"/>
    <w:rsid w:val="00A7413B"/>
    <w:rsid w:val="00A82E2E"/>
    <w:rsid w:val="00A842C1"/>
    <w:rsid w:val="00A931F9"/>
    <w:rsid w:val="00A95CDC"/>
    <w:rsid w:val="00A96E50"/>
    <w:rsid w:val="00AA01D2"/>
    <w:rsid w:val="00AA48B6"/>
    <w:rsid w:val="00AA552C"/>
    <w:rsid w:val="00AA60AF"/>
    <w:rsid w:val="00AA6256"/>
    <w:rsid w:val="00AB2800"/>
    <w:rsid w:val="00AB29CA"/>
    <w:rsid w:val="00AB5582"/>
    <w:rsid w:val="00AB7539"/>
    <w:rsid w:val="00AC32BD"/>
    <w:rsid w:val="00AC4626"/>
    <w:rsid w:val="00AC767D"/>
    <w:rsid w:val="00AC7871"/>
    <w:rsid w:val="00AD276E"/>
    <w:rsid w:val="00AD4A45"/>
    <w:rsid w:val="00AD738B"/>
    <w:rsid w:val="00AD7733"/>
    <w:rsid w:val="00AD7FA4"/>
    <w:rsid w:val="00AE06FC"/>
    <w:rsid w:val="00AE1357"/>
    <w:rsid w:val="00AE54B4"/>
    <w:rsid w:val="00AF1422"/>
    <w:rsid w:val="00AF33CD"/>
    <w:rsid w:val="00AF6C9F"/>
    <w:rsid w:val="00AF7363"/>
    <w:rsid w:val="00B046DF"/>
    <w:rsid w:val="00B0634B"/>
    <w:rsid w:val="00B07EEF"/>
    <w:rsid w:val="00B113FA"/>
    <w:rsid w:val="00B220D1"/>
    <w:rsid w:val="00B2248F"/>
    <w:rsid w:val="00B2275C"/>
    <w:rsid w:val="00B24B93"/>
    <w:rsid w:val="00B315BF"/>
    <w:rsid w:val="00B32FB5"/>
    <w:rsid w:val="00B3404F"/>
    <w:rsid w:val="00B376EF"/>
    <w:rsid w:val="00B442BB"/>
    <w:rsid w:val="00B453C8"/>
    <w:rsid w:val="00B515EB"/>
    <w:rsid w:val="00B52C07"/>
    <w:rsid w:val="00B5418B"/>
    <w:rsid w:val="00B54D7B"/>
    <w:rsid w:val="00B57664"/>
    <w:rsid w:val="00B57E18"/>
    <w:rsid w:val="00B73481"/>
    <w:rsid w:val="00B77189"/>
    <w:rsid w:val="00B77CC3"/>
    <w:rsid w:val="00B81679"/>
    <w:rsid w:val="00B82280"/>
    <w:rsid w:val="00B91A24"/>
    <w:rsid w:val="00B944A8"/>
    <w:rsid w:val="00B9643D"/>
    <w:rsid w:val="00BA1553"/>
    <w:rsid w:val="00BA2065"/>
    <w:rsid w:val="00BA252B"/>
    <w:rsid w:val="00BA36F5"/>
    <w:rsid w:val="00BA7883"/>
    <w:rsid w:val="00BB6054"/>
    <w:rsid w:val="00BB7BF4"/>
    <w:rsid w:val="00BE179E"/>
    <w:rsid w:val="00BF1A47"/>
    <w:rsid w:val="00BF3C2B"/>
    <w:rsid w:val="00BF6BC5"/>
    <w:rsid w:val="00C0672F"/>
    <w:rsid w:val="00C10501"/>
    <w:rsid w:val="00C17395"/>
    <w:rsid w:val="00C3710B"/>
    <w:rsid w:val="00C43DE2"/>
    <w:rsid w:val="00C46F95"/>
    <w:rsid w:val="00C558E8"/>
    <w:rsid w:val="00C55DED"/>
    <w:rsid w:val="00C63779"/>
    <w:rsid w:val="00C72F64"/>
    <w:rsid w:val="00C73D2B"/>
    <w:rsid w:val="00C771C6"/>
    <w:rsid w:val="00C85FAF"/>
    <w:rsid w:val="00C902EC"/>
    <w:rsid w:val="00C96DD5"/>
    <w:rsid w:val="00C9780A"/>
    <w:rsid w:val="00CA54D0"/>
    <w:rsid w:val="00CB1804"/>
    <w:rsid w:val="00CB7970"/>
    <w:rsid w:val="00CC7B1D"/>
    <w:rsid w:val="00CD2F71"/>
    <w:rsid w:val="00CE005C"/>
    <w:rsid w:val="00CE3573"/>
    <w:rsid w:val="00CE38D8"/>
    <w:rsid w:val="00D00A7E"/>
    <w:rsid w:val="00D00A89"/>
    <w:rsid w:val="00D01164"/>
    <w:rsid w:val="00D0197B"/>
    <w:rsid w:val="00D02A2B"/>
    <w:rsid w:val="00D03AB8"/>
    <w:rsid w:val="00D04168"/>
    <w:rsid w:val="00D043BD"/>
    <w:rsid w:val="00D10096"/>
    <w:rsid w:val="00D1259D"/>
    <w:rsid w:val="00D2248D"/>
    <w:rsid w:val="00D3252E"/>
    <w:rsid w:val="00D33BFE"/>
    <w:rsid w:val="00D37B0C"/>
    <w:rsid w:val="00D47411"/>
    <w:rsid w:val="00D55002"/>
    <w:rsid w:val="00D551D1"/>
    <w:rsid w:val="00D57210"/>
    <w:rsid w:val="00D61420"/>
    <w:rsid w:val="00D614B5"/>
    <w:rsid w:val="00D62367"/>
    <w:rsid w:val="00D6320C"/>
    <w:rsid w:val="00D736FC"/>
    <w:rsid w:val="00D73AFC"/>
    <w:rsid w:val="00D83906"/>
    <w:rsid w:val="00D863EE"/>
    <w:rsid w:val="00D934E3"/>
    <w:rsid w:val="00DA1ECC"/>
    <w:rsid w:val="00DB5A7D"/>
    <w:rsid w:val="00DB75DF"/>
    <w:rsid w:val="00DC05D3"/>
    <w:rsid w:val="00DC2C71"/>
    <w:rsid w:val="00DC692B"/>
    <w:rsid w:val="00DE6A0B"/>
    <w:rsid w:val="00DF10D2"/>
    <w:rsid w:val="00DF1911"/>
    <w:rsid w:val="00DF4489"/>
    <w:rsid w:val="00DF48E8"/>
    <w:rsid w:val="00DF763F"/>
    <w:rsid w:val="00E00237"/>
    <w:rsid w:val="00E006FF"/>
    <w:rsid w:val="00E122C6"/>
    <w:rsid w:val="00E156CA"/>
    <w:rsid w:val="00E210A9"/>
    <w:rsid w:val="00E3160B"/>
    <w:rsid w:val="00E33BBC"/>
    <w:rsid w:val="00E366F8"/>
    <w:rsid w:val="00E4044E"/>
    <w:rsid w:val="00E43D1A"/>
    <w:rsid w:val="00E464F0"/>
    <w:rsid w:val="00E47250"/>
    <w:rsid w:val="00E51BBE"/>
    <w:rsid w:val="00E53803"/>
    <w:rsid w:val="00E57101"/>
    <w:rsid w:val="00E62329"/>
    <w:rsid w:val="00E626DD"/>
    <w:rsid w:val="00E710B5"/>
    <w:rsid w:val="00E742BC"/>
    <w:rsid w:val="00E7529C"/>
    <w:rsid w:val="00E80E06"/>
    <w:rsid w:val="00E84F57"/>
    <w:rsid w:val="00E853FE"/>
    <w:rsid w:val="00E91D96"/>
    <w:rsid w:val="00E95AF3"/>
    <w:rsid w:val="00E96609"/>
    <w:rsid w:val="00EB07DF"/>
    <w:rsid w:val="00EB2845"/>
    <w:rsid w:val="00EB2C46"/>
    <w:rsid w:val="00EC5D87"/>
    <w:rsid w:val="00EC65BE"/>
    <w:rsid w:val="00ED0EB6"/>
    <w:rsid w:val="00ED1D49"/>
    <w:rsid w:val="00ED34B5"/>
    <w:rsid w:val="00ED5EB7"/>
    <w:rsid w:val="00EF19AA"/>
    <w:rsid w:val="00F05BE1"/>
    <w:rsid w:val="00F104D7"/>
    <w:rsid w:val="00F212A9"/>
    <w:rsid w:val="00F216D8"/>
    <w:rsid w:val="00F25025"/>
    <w:rsid w:val="00F34136"/>
    <w:rsid w:val="00F35029"/>
    <w:rsid w:val="00F40C6B"/>
    <w:rsid w:val="00F416D6"/>
    <w:rsid w:val="00F44DC2"/>
    <w:rsid w:val="00F52767"/>
    <w:rsid w:val="00F632FA"/>
    <w:rsid w:val="00F730BE"/>
    <w:rsid w:val="00F81E13"/>
    <w:rsid w:val="00F84049"/>
    <w:rsid w:val="00F9050D"/>
    <w:rsid w:val="00F92C20"/>
    <w:rsid w:val="00F9309D"/>
    <w:rsid w:val="00FB0924"/>
    <w:rsid w:val="00FB2C6B"/>
    <w:rsid w:val="00FB3159"/>
    <w:rsid w:val="00FC44AA"/>
    <w:rsid w:val="00FC50E2"/>
    <w:rsid w:val="00FC68C6"/>
    <w:rsid w:val="00FC7740"/>
    <w:rsid w:val="00FD34AF"/>
    <w:rsid w:val="00FD7173"/>
    <w:rsid w:val="00FE15BC"/>
    <w:rsid w:val="00FE4487"/>
    <w:rsid w:val="00FE44D7"/>
    <w:rsid w:val="00FF2470"/>
    <w:rsid w:val="00FF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71"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DCA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1E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0810"/>
  </w:style>
  <w:style w:type="paragraph" w:styleId="ab">
    <w:name w:val="footer"/>
    <w:basedOn w:val="a"/>
    <w:link w:val="ac"/>
    <w:uiPriority w:val="99"/>
    <w:unhideWhenUsed/>
    <w:rsid w:val="001E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0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8D29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6">
    <w:name w:val="Font Style16"/>
    <w:rsid w:val="00563630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rsid w:val="004D3C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2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DCA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1E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0810"/>
  </w:style>
  <w:style w:type="paragraph" w:styleId="ab">
    <w:name w:val="footer"/>
    <w:basedOn w:val="a"/>
    <w:link w:val="ac"/>
    <w:uiPriority w:val="99"/>
    <w:unhideWhenUsed/>
    <w:rsid w:val="001E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3A7A-4DAD-4366-9965-925954C4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</dc:creator>
  <cp:lastModifiedBy>Мария Александровна Храмова</cp:lastModifiedBy>
  <cp:revision>8</cp:revision>
  <cp:lastPrinted>2014-12-24T23:36:00Z</cp:lastPrinted>
  <dcterms:created xsi:type="dcterms:W3CDTF">2014-12-16T02:05:00Z</dcterms:created>
  <dcterms:modified xsi:type="dcterms:W3CDTF">2014-12-29T07:18:00Z</dcterms:modified>
</cp:coreProperties>
</file>