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B9" w:rsidRPr="00AA46B9" w:rsidRDefault="00AA46B9" w:rsidP="00AA46B9">
      <w:pPr>
        <w:spacing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Консультация для воспитателей по теме: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«</w:t>
      </w:r>
      <w:r w:rsidRPr="00AA46B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Комплексно – тематическое планирование </w:t>
      </w:r>
      <w:proofErr w:type="spellStart"/>
      <w:r w:rsidRPr="00AA46B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воспитательно</w:t>
      </w:r>
      <w:proofErr w:type="spellEnd"/>
      <w:r w:rsidRPr="00AA46B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 - образовательного процесса в дошкольном учреждении в соответствии с ФГТ»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В соответствии с Законом РФ «Об образовании» (пункт 6.2 статьи 9) приказом министерства образования и науки РФ от 23.11.2009 № 655 утверждены федеральные государственные требования (ФГТ) к структуре основной общеобразовательной программы ДО. ФГТ фиксируют структуру основной общеобразовательной программы, кроме того положения ФГТ являются основой структуры планирования образовательной деятельности. Выделим некоторые из положений: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Pr="00AA46B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Программа должна основываться на </w:t>
      </w:r>
      <w:r w:rsidRPr="00AA46B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комплексно – тематическом принципе </w:t>
      </w:r>
      <w:r w:rsidRPr="00AA46B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построения образовательного процесса…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>»;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далее «</w:t>
      </w:r>
      <w:r w:rsidRPr="00AA46B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Программа должна…предусматривать решение образовательных задач </w:t>
      </w:r>
      <w:r w:rsidRPr="00AA46B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в совместной деятельности взрослого и детей и самостоятельной деятельности детей</w:t>
      </w:r>
      <w:r w:rsidRPr="00AA46B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r w:rsidRPr="00AA46B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не только в рамках непосредственно образовательной деятельности, но и при проведении режимных моментов</w:t>
      </w:r>
      <w:r w:rsidRPr="00AA46B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…;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далее</w:t>
      </w:r>
      <w:r w:rsidRPr="00AA46B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Pr="00AA46B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Программа должна…предполагать построение образовательного процесса на </w:t>
      </w:r>
      <w:r w:rsidRPr="00AA46B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адекватных возрасту формах работы с детьми</w:t>
      </w:r>
      <w:r w:rsidRPr="00AA46B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 Основной формой работы с детьми дошкольного возраста и ведущим видом деятельности для них является игра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». </w:t>
      </w:r>
      <w:proofErr w:type="gramStart"/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В ФГТ содержится указание на то, какие виды деятельности можно считать </w:t>
      </w:r>
      <w:r w:rsidRPr="00AA46B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адекватными для ребёнка дошкольного возраста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>: кроме игровой, это – коммуникативная, двигательная, продуктивная, познавательно – исследовательская, трудовая, музыкально – художественная деятельность, чтение (восприятие) художественной литературы.</w:t>
      </w:r>
      <w:proofErr w:type="gramEnd"/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Рассмотрим, что предполагает </w:t>
      </w:r>
      <w:r w:rsidRPr="00AA46B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комплексно – тематический принцип построения образовательного процесса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В настоящее время в массовой практике используются три основных принципа построения образовательного процесса:</w:t>
      </w:r>
    </w:p>
    <w:p w:rsidR="00AA46B9" w:rsidRPr="00AA46B9" w:rsidRDefault="00AA46B9" w:rsidP="00AA46B9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Учебный</w:t>
      </w:r>
    </w:p>
    <w:p w:rsidR="00AA46B9" w:rsidRPr="00AA46B9" w:rsidRDefault="00AA46B9" w:rsidP="00AA46B9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Предметно – средовой</w:t>
      </w:r>
    </w:p>
    <w:p w:rsidR="00AA46B9" w:rsidRPr="00AA46B9" w:rsidRDefault="00AA46B9" w:rsidP="00AA46B9">
      <w:pPr>
        <w:numPr>
          <w:ilvl w:val="0"/>
          <w:numId w:val="1"/>
        </w:numPr>
        <w:spacing w:after="0" w:line="312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Комплексно - тематический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Кратко остановимся на каждом из принципов.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На сегодняшний день доминирует учебный принцип (или учебная модель) построения образовательного процесса. Эта модель является наиболее распространённой и традиционной для российского дошкольного образования. В рамках учебной модели 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воспитатель ежедневно проводит занятия, которые, по сути, представляют собой адаптированные к потребностям дошкольного возраста уроки по ознакомлению с окружающим, математике, развитию речи, и другим «предметам»</w:t>
      </w:r>
      <w:r w:rsidRPr="00AA46B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. 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Несмотря на включение игровых </w:t>
      </w:r>
      <w:proofErr w:type="gramStart"/>
      <w:r w:rsidRPr="00AA46B9">
        <w:rPr>
          <w:rFonts w:ascii="Arial" w:eastAsia="Times New Roman" w:hAnsi="Arial" w:cs="Arial"/>
          <w:sz w:val="21"/>
          <w:szCs w:val="21"/>
          <w:lang w:eastAsia="ru-RU"/>
        </w:rPr>
        <w:t>методов</w:t>
      </w:r>
      <w:proofErr w:type="gramEnd"/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 и приёмов, более свободной организации детей сущность учебной модели не изменилась. Организация специальных занятий по «предметам» - </w:t>
      </w:r>
      <w:r w:rsidRPr="00AA46B9">
        <w:rPr>
          <w:rFonts w:ascii="Arial" w:eastAsia="Times New Roman" w:hAnsi="Arial" w:cs="Arial"/>
          <w:sz w:val="21"/>
          <w:szCs w:val="21"/>
          <w:u w:val="single"/>
          <w:lang w:eastAsia="ru-RU"/>
        </w:rPr>
        <w:t>не тождественна организации различных видов детской деятельности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, а деятельность педагога и детей на специально организованных занятиях - </w:t>
      </w:r>
      <w:r w:rsidRPr="00AA46B9">
        <w:rPr>
          <w:rFonts w:ascii="Arial" w:eastAsia="Times New Roman" w:hAnsi="Arial" w:cs="Arial"/>
          <w:sz w:val="21"/>
          <w:szCs w:val="21"/>
          <w:u w:val="single"/>
          <w:lang w:eastAsia="ru-RU"/>
        </w:rPr>
        <w:t>не является совместной деятельностью взрослого и детей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, т. к. главной составляющей занятия является </w:t>
      </w:r>
      <w:r w:rsidRPr="00AA46B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воздействие взрослого на ребёнка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, а главной составляющей совместной деятельности является </w:t>
      </w:r>
      <w:r w:rsidRPr="00AA46B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взаимодействие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Pr="00AA46B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сотрудничество. 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Учебная модель организации образовательного процесса не является адекватной для детей дошкольного возраста, что доказывают труды классиков отечественной психологии (Л. С. Выготский, Л. И. </w:t>
      </w:r>
      <w:proofErr w:type="spellStart"/>
      <w:r w:rsidRPr="00AA46B9">
        <w:rPr>
          <w:rFonts w:ascii="Arial" w:eastAsia="Times New Roman" w:hAnsi="Arial" w:cs="Arial"/>
          <w:sz w:val="21"/>
          <w:szCs w:val="21"/>
          <w:lang w:eastAsia="ru-RU"/>
        </w:rPr>
        <w:t>Божович</w:t>
      </w:r>
      <w:proofErr w:type="spellEnd"/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, А. В. Запорожец, А. Н. Леонтьев, Д. Б. </w:t>
      </w:r>
      <w:proofErr w:type="spellStart"/>
      <w:r w:rsidRPr="00AA46B9">
        <w:rPr>
          <w:rFonts w:ascii="Arial" w:eastAsia="Times New Roman" w:hAnsi="Arial" w:cs="Arial"/>
          <w:sz w:val="21"/>
          <w:szCs w:val="21"/>
          <w:lang w:eastAsia="ru-RU"/>
        </w:rPr>
        <w:t>Эльконин</w:t>
      </w:r>
      <w:proofErr w:type="spellEnd"/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 и др.).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Таким </w:t>
      </w:r>
      <w:proofErr w:type="gramStart"/>
      <w:r w:rsidRPr="00AA46B9">
        <w:rPr>
          <w:rFonts w:ascii="Arial" w:eastAsia="Times New Roman" w:hAnsi="Arial" w:cs="Arial"/>
          <w:sz w:val="21"/>
          <w:szCs w:val="21"/>
          <w:lang w:eastAsia="ru-RU"/>
        </w:rPr>
        <w:t>образом</w:t>
      </w:r>
      <w:proofErr w:type="gramEnd"/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 учебная модель построения образовательного процесса противоречит теоретико – методологическим принципам ФГТ.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В</w:t>
      </w:r>
      <w:r w:rsidRPr="00AA46B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предметно – средовом принципе 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построения образовательного процесса (ярким примером является система М. </w:t>
      </w:r>
      <w:proofErr w:type="spellStart"/>
      <w:r w:rsidRPr="00AA46B9">
        <w:rPr>
          <w:rFonts w:ascii="Arial" w:eastAsia="Times New Roman" w:hAnsi="Arial" w:cs="Arial"/>
          <w:sz w:val="21"/>
          <w:szCs w:val="21"/>
          <w:lang w:eastAsia="ru-RU"/>
        </w:rPr>
        <w:t>Монтессори</w:t>
      </w:r>
      <w:proofErr w:type="spellEnd"/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) главной составляющей является дидактический материал, действие с которым, по мнению авторов, автоматически развивает ребёнка, соответственно, взрослому отводится второстепенная роль, опосредованная в зависимости от направленности дидактического материала. 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Практика показывает, что в </w:t>
      </w:r>
      <w:r w:rsidRPr="00AA46B9">
        <w:rPr>
          <w:rFonts w:ascii="Arial" w:eastAsia="Times New Roman" w:hAnsi="Arial" w:cs="Arial"/>
          <w:sz w:val="21"/>
          <w:szCs w:val="21"/>
          <w:u w:val="single"/>
          <w:lang w:eastAsia="ru-RU"/>
        </w:rPr>
        <w:t>«чистом виде»,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 как доминирующий основной принцип организации образовательного процесса, в современном ДО этот принцип применён быть не может, т. к. не осуществляется освоение социального опыта и культуры, недооценивается значение общения и взаимодействия ребёнка </w:t>
      </w:r>
      <w:proofErr w:type="gramStart"/>
      <w:r w:rsidRPr="00AA46B9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 для развития всех видов детской деятельности. 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Однако предметно – средовой принцип применим к организации </w:t>
      </w:r>
      <w:r w:rsidRPr="00AA46B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самостоятельной деятельности детей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>. Под самостоятельной деятельностью понимается свободная деятельность воспитанников в условиях созданной педагогами предметно – развивающей среды, обеспечивающей выбор каждым ребёнком деятельности по интересам позволяющей ему взаимодействовать со сверстниками или действовать индивидуально.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Комплексно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 – </w:t>
      </w:r>
      <w:r w:rsidRPr="00AA46B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тематический принцип 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построения образовательного процесса успешно реализуется в специальной коррекционной педагогике. В логопедических группах в течение года изучается несколько лексических тем, это является наиболее эффективным способом преодоления лексической недостаточности детей имеющих тяжёлые нарушения речи. 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Комплексно – тематический принцип в данном случае реализуется не в «чистом виде», а в совокупности с учебной моделью: занятия продолжают оставаться основной формой организации образовательного процесса, построенного по предметному принципу.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Учитывая специфику коррекционно - образовательной работы с детьми с ограниченными возможностями здоровья не правомерно поднимать вопрос о переносе существующей комплексно – тематической модели из специализированных групп </w:t>
      </w:r>
      <w:proofErr w:type="gramStart"/>
      <w:r w:rsidRPr="00AA46B9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 массовые. То, что хорошо для одной категории детей, неприемлемо для другой.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Примерами построения образовательного процесса по комплексно – тематическому принципу служат вариативные программы: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программа «Золотой ключик» - где образовательный процесс, строится по сюжетно - событийному принципу;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программа «Сообщество» - где образовательный процесс представляет собой реализацию ряда проектов, каждый проект-это тема, которой объединены все виды детской деятельности.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По комплексно – тематическому принципу построена Примерная основная общеобразовательная программа дошкольного образования «Успех», где основой организации образовательной деятельности является примерный календарь праздников (событий), тематика которых ориентирована на все направления развития ребёнка дошкольного возраста.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 xml:space="preserve">Резюмируя выше сказанное, можно сделать </w:t>
      </w:r>
      <w:r w:rsidRPr="00AA46B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вывод</w:t>
      </w:r>
      <w:r w:rsidRPr="00AA46B9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AA46B9" w:rsidRPr="00AA46B9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- доминирующая на сегодняшний день учебная модель построения образовательного процесса противоречит теоретико – методологическим принципам ФГТ;</w:t>
      </w:r>
    </w:p>
    <w:p w:rsidR="006879EF" w:rsidRPr="006879EF" w:rsidRDefault="00AA46B9" w:rsidP="00AA46B9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A46B9">
        <w:rPr>
          <w:rFonts w:ascii="Arial" w:eastAsia="Times New Roman" w:hAnsi="Arial" w:cs="Arial"/>
          <w:sz w:val="21"/>
          <w:szCs w:val="21"/>
          <w:lang w:eastAsia="ru-RU"/>
        </w:rPr>
        <w:t>- в основе должен лежать комплексно – тематический принцип построения образовательного процесса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. Темы, в рамках которых </w:t>
      </w:r>
      <w:r w:rsidR="006879EF"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будут решаться образовательные задачи, </w:t>
      </w:r>
      <w:r w:rsidR="006879EF" w:rsidRPr="006879EF">
        <w:rPr>
          <w:rFonts w:ascii="Arial" w:eastAsia="Times New Roman" w:hAnsi="Arial" w:cs="Arial"/>
          <w:sz w:val="21"/>
          <w:szCs w:val="21"/>
          <w:u w:val="single"/>
          <w:lang w:eastAsia="ru-RU"/>
        </w:rPr>
        <w:t>должны быть социально значимыми для общества</w:t>
      </w:r>
      <w:r w:rsidR="006879EF"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6879EF" w:rsidRPr="006879EF">
        <w:rPr>
          <w:rFonts w:ascii="Arial" w:eastAsia="Times New Roman" w:hAnsi="Arial" w:cs="Arial"/>
          <w:sz w:val="21"/>
          <w:szCs w:val="21"/>
          <w:u w:val="single"/>
          <w:lang w:eastAsia="ru-RU"/>
        </w:rPr>
        <w:t>семьи</w:t>
      </w:r>
      <w:r w:rsidR="006879EF"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6879EF" w:rsidRPr="006879EF">
        <w:rPr>
          <w:rFonts w:ascii="Arial" w:eastAsia="Times New Roman" w:hAnsi="Arial" w:cs="Arial"/>
          <w:sz w:val="21"/>
          <w:szCs w:val="21"/>
          <w:u w:val="single"/>
          <w:lang w:eastAsia="ru-RU"/>
        </w:rPr>
        <w:t>государства</w:t>
      </w:r>
      <w:r w:rsidR="006879EF"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, кроме того, </w:t>
      </w:r>
      <w:r w:rsidR="006879EF" w:rsidRPr="006879EF">
        <w:rPr>
          <w:rFonts w:ascii="Arial" w:eastAsia="Times New Roman" w:hAnsi="Arial" w:cs="Arial"/>
          <w:sz w:val="21"/>
          <w:szCs w:val="21"/>
          <w:u w:val="single"/>
          <w:lang w:eastAsia="ru-RU"/>
        </w:rPr>
        <w:t>должны вызывать личностный интерес детей</w:t>
      </w:r>
      <w:r w:rsidR="006879EF"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6879EF" w:rsidRPr="006879EF">
        <w:rPr>
          <w:rFonts w:ascii="Arial" w:eastAsia="Times New Roman" w:hAnsi="Arial" w:cs="Arial"/>
          <w:sz w:val="21"/>
          <w:szCs w:val="21"/>
          <w:u w:val="single"/>
          <w:lang w:eastAsia="ru-RU"/>
        </w:rPr>
        <w:t>положительное эмоциональное отношение</w:t>
      </w:r>
      <w:r w:rsidR="006879EF" w:rsidRPr="006879EF">
        <w:rPr>
          <w:rFonts w:ascii="Arial" w:eastAsia="Times New Roman" w:hAnsi="Arial" w:cs="Arial"/>
          <w:sz w:val="21"/>
          <w:szCs w:val="21"/>
          <w:lang w:eastAsia="ru-RU"/>
        </w:rPr>
        <w:t>. Принцип комплексно – тематического планирования тесно связан с принципом интеграции организационных форм, различных видов детской деятельности;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- учебный блок в прежнем его понимании не может и не должен присутствовать в практике </w:t>
      </w:r>
      <w:proofErr w:type="gramStart"/>
      <w:r w:rsidRPr="006879EF">
        <w:rPr>
          <w:rFonts w:ascii="Arial" w:eastAsia="Times New Roman" w:hAnsi="Arial" w:cs="Arial"/>
          <w:sz w:val="21"/>
          <w:szCs w:val="21"/>
          <w:lang w:eastAsia="ru-RU"/>
        </w:rPr>
        <w:t>ДО</w:t>
      </w:r>
      <w:proofErr w:type="gramEnd"/>
      <w:r w:rsidRPr="006879EF">
        <w:rPr>
          <w:rFonts w:ascii="Arial" w:eastAsia="Times New Roman" w:hAnsi="Arial" w:cs="Arial"/>
          <w:sz w:val="21"/>
          <w:szCs w:val="21"/>
          <w:lang w:eastAsia="ru-RU"/>
        </w:rPr>
        <w:t>. Проведение занятий как основной формы организации образовательного процесса целесообразно в возрасте не ранее 6 лет.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Однако из данных положений вовсе не следует, что процесс обучения отменяется. Обучение является одной из главных составляющих дошкольного образования, наряду с воспитанием и развитием. </w:t>
      </w:r>
      <w:proofErr w:type="gramStart"/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В тексте ФГТ не употребляется слово «занятие» не потому, что Министерство </w:t>
      </w:r>
      <w:r w:rsidRPr="006879E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образования и науки РФ перешло на позиции «свободного воспитания» - отсутствие термина «занятие» обусловлено главной причиной: не спровоцировать понимание термина «образовательная деятельность в процессе организации детских видов деятельности» в качестве той самой учебной деятельности, основной формой которой и являлось в прежней дидактике специально организованное занятие.</w:t>
      </w:r>
      <w:proofErr w:type="gramEnd"/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 На вопрос: «Что же, теперь занятия в детском саду отменяются?», авторы разработчики проекта ФГТ отвечают: «Вовсе нет, просто в само понятие «занятие» вкладывается иной смысл – </w:t>
      </w:r>
      <w:r w:rsidRPr="006879E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увлекательное</w:t>
      </w:r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Pr="006879E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занимательное</w:t>
      </w:r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6879E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дело</w:t>
      </w:r>
      <w:r w:rsidRPr="006879EF">
        <w:rPr>
          <w:rFonts w:ascii="Arial" w:eastAsia="Times New Roman" w:hAnsi="Arial" w:cs="Arial"/>
          <w:sz w:val="21"/>
          <w:szCs w:val="21"/>
          <w:lang w:eastAsia="ru-RU"/>
        </w:rPr>
        <w:t>, без отожествления с занятием как дидактической формой учебной деятельности.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>Таким образом, ФГТ вносят существенные изменения в структуру планирования образовательной деятельности. Основным принципиальным отличием является замена учебного блока, который ранее в календарном и перспективном</w:t>
      </w:r>
      <w:r w:rsidR="00A56AA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планировании назывался «Специально организованные занятия» на блоки «Образовательной деятельности, осуществляемой в совместной деятельности взрослых и детей», где существенным признаком совместной деятельности является наличие партнёрства, сотрудничество взрослого и ребёнка, возможность свободного размещения, перемещения и общения детей. Схематично изменения можно представить следующим образом 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>ТАБЛИЦА 1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188"/>
        <w:gridCol w:w="3129"/>
      </w:tblGrid>
      <w:tr w:rsidR="006879EF" w:rsidRPr="006879EF" w:rsidTr="006879EF">
        <w:trPr>
          <w:jc w:val="center"/>
        </w:trPr>
        <w:tc>
          <w:tcPr>
            <w:tcW w:w="5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Самостоятельная деятельность детей</w:t>
            </w:r>
          </w:p>
        </w:tc>
      </w:tr>
      <w:tr w:rsidR="006879EF" w:rsidRPr="006879EF" w:rsidTr="006879EF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Образовательная </w:t>
            </w:r>
            <w:proofErr w:type="gramStart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</w:t>
            </w:r>
            <w:proofErr w:type="gramEnd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осуществляемая в ходе</w:t>
            </w:r>
          </w:p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режимных моментов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</w:tbl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>Как вариант планирования можно представить следующую форму: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>ТАБЛИЦА 2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>ПЛАНИРОВАНИЕ ВОСПИТАТЕЛЬНО - ОБРАЗОВАТЕЛЬНОГО ПРОЦЕССА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(по О. </w:t>
      </w:r>
      <w:proofErr w:type="spellStart"/>
      <w:r w:rsidRPr="006879EF">
        <w:rPr>
          <w:rFonts w:ascii="Arial" w:eastAsia="Times New Roman" w:hAnsi="Arial" w:cs="Arial"/>
          <w:sz w:val="21"/>
          <w:szCs w:val="21"/>
          <w:lang w:eastAsia="ru-RU"/>
        </w:rPr>
        <w:t>Скоролуповой</w:t>
      </w:r>
      <w:proofErr w:type="spellEnd"/>
      <w:r w:rsidRPr="006879EF">
        <w:rPr>
          <w:rFonts w:ascii="Arial" w:eastAsia="Times New Roman" w:hAnsi="Arial" w:cs="Arial"/>
          <w:sz w:val="21"/>
          <w:szCs w:val="21"/>
          <w:lang w:eastAsia="ru-RU"/>
        </w:rPr>
        <w:t>, Н. Фединой)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041"/>
        <w:gridCol w:w="1342"/>
        <w:gridCol w:w="1388"/>
        <w:gridCol w:w="1675"/>
        <w:gridCol w:w="1638"/>
        <w:gridCol w:w="1572"/>
      </w:tblGrid>
      <w:tr w:rsidR="006879EF" w:rsidRPr="006879EF" w:rsidTr="006879EF">
        <w:trPr>
          <w:jc w:val="center"/>
        </w:trPr>
        <w:tc>
          <w:tcPr>
            <w:tcW w:w="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недели/</w:t>
            </w:r>
          </w:p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</w:t>
            </w:r>
            <w:proofErr w:type="spellEnd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-тельные</w:t>
            </w:r>
            <w:proofErr w:type="gramEnd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Совместная деятельность взрослого и детей</w:t>
            </w:r>
          </w:p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учётом интеграции образовательных областей</w:t>
            </w:r>
          </w:p>
        </w:tc>
        <w:tc>
          <w:tcPr>
            <w:tcW w:w="1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Взаимодействие с родителями /</w:t>
            </w:r>
          </w:p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Социальными партнёрами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Непосредственно</w:t>
            </w:r>
          </w:p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Образовательная деятельность в режимных </w:t>
            </w: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моментах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Групповая</w:t>
            </w:r>
          </w:p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</w:tbl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879EF">
        <w:rPr>
          <w:rFonts w:ascii="Arial" w:eastAsia="Times New Roman" w:hAnsi="Arial" w:cs="Arial"/>
          <w:sz w:val="21"/>
          <w:szCs w:val="21"/>
          <w:lang w:eastAsia="ru-RU"/>
        </w:rPr>
        <w:t>Графы 3-4 – предполагают образовательную деятельность не сопряжённую с одновременным выполнением педагогом функций по присмотру и уходу за детьми, это непосредственно образовательная деятельность, реализуемая через организацию различных видов детской деятельности (игровой, двигательной, познавательно – исследовательской, коммуникативной, продуктивной, музыкально – художественной, трудовой, а также чтения художественной литературы) или их интеграцию, с использованием разнообразных форм и методов работы.</w:t>
      </w:r>
      <w:proofErr w:type="gramEnd"/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>Графа 5 – предполагает решение образовательных задач сопряжённых с одновременным выполнением функций по присмотру и уходу за детьми – утренний приём, прогулка, подготовка ко сну, организация питания и др.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879EF">
        <w:rPr>
          <w:rFonts w:ascii="Arial" w:eastAsia="Times New Roman" w:hAnsi="Arial" w:cs="Arial"/>
          <w:sz w:val="21"/>
          <w:szCs w:val="21"/>
          <w:lang w:eastAsia="ru-RU"/>
        </w:rPr>
        <w:t>В графах 3-5 – указываются соответствующие формы работы с детьми (подвижные, дидактические, сюжетно – ролевые игры, игры с правилами, музыкально – дидактические игры, беседы, составление и отгадывание загадок, дежурство, поручения, наблюдение, экскурсия, экспериментирование, разучивание и т. д.).</w:t>
      </w:r>
      <w:proofErr w:type="gramEnd"/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 К каждой форме </w:t>
      </w:r>
      <w:r w:rsidRPr="006879E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обязательно формулируются образовательные задачи двух и более образовательных областей.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При планировании необходимо учитывать схему развития любого вида деятельности в соответствии с культурно – исторической концепцией Л. С. Выготского: сначала деятельность осуществляется в совместной деятельности </w:t>
      </w:r>
      <w:proofErr w:type="gramStart"/>
      <w:r w:rsidRPr="006879EF">
        <w:rPr>
          <w:rFonts w:ascii="Arial" w:eastAsia="Times New Roman" w:hAnsi="Arial" w:cs="Arial"/>
          <w:sz w:val="21"/>
          <w:szCs w:val="21"/>
          <w:lang w:eastAsia="ru-RU"/>
        </w:rPr>
        <w:t>со</w:t>
      </w:r>
      <w:proofErr w:type="gramEnd"/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 взрослым, затем в совместной деятельности со сверстниками, наконец становится самостоятельной деятельностью ребёнка.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Планирование </w:t>
      </w:r>
      <w:proofErr w:type="spellStart"/>
      <w:r w:rsidRPr="006879EF">
        <w:rPr>
          <w:rFonts w:ascii="Arial" w:eastAsia="Times New Roman" w:hAnsi="Arial" w:cs="Arial"/>
          <w:sz w:val="21"/>
          <w:szCs w:val="21"/>
          <w:lang w:eastAsia="ru-RU"/>
        </w:rPr>
        <w:t>воспитательно</w:t>
      </w:r>
      <w:proofErr w:type="spellEnd"/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 – образовательного процесса в соответствии с ФГТ может быть представлено в других формах и видах.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>На сегодняшний день разработано и предлагается две Основные общеобразовательные программы дошкольного образования: «Успех», «От рождения до школы» полностью соответствующих ФГТ.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>Программы определяют обязательную часть основной общеобразовательной программы ДО детей дошкольного возраста, на основе которой ДОУ самостоятельно разрабатывает и реализует основную общеобразовательную программу.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>_________________________________________________________________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* В подготовке материала использовались статьи руководителя коллектива разработчиков проекта ФГТ Нины Владимировны Фединой (руководитель Центра дошкольного образования </w:t>
      </w:r>
      <w:r w:rsidRPr="006879EF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Учреждения РАО «Институт стратегических исследований в образовании» и заместителя начальника отдела развития и нормативного регулирования общего образования Министерства образования и науки РФ </w:t>
      </w:r>
      <w:proofErr w:type="spellStart"/>
      <w:r w:rsidRPr="006879EF">
        <w:rPr>
          <w:rFonts w:ascii="Arial" w:eastAsia="Times New Roman" w:hAnsi="Arial" w:cs="Arial"/>
          <w:sz w:val="21"/>
          <w:szCs w:val="21"/>
          <w:lang w:eastAsia="ru-RU"/>
        </w:rPr>
        <w:t>Скоролуповой</w:t>
      </w:r>
      <w:proofErr w:type="spellEnd"/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 Оксаны Алексеевны.</w:t>
      </w:r>
      <w:proofErr w:type="gramEnd"/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>Приложение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>ТАБЛИЦА 1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188"/>
        <w:gridCol w:w="3129"/>
      </w:tblGrid>
      <w:tr w:rsidR="006879EF" w:rsidRPr="006879EF" w:rsidTr="006879EF">
        <w:trPr>
          <w:jc w:val="center"/>
        </w:trPr>
        <w:tc>
          <w:tcPr>
            <w:tcW w:w="5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Самостоятельная деятельность детей</w:t>
            </w:r>
          </w:p>
        </w:tc>
      </w:tr>
      <w:tr w:rsidR="006879EF" w:rsidRPr="006879EF" w:rsidTr="006879EF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Образовательная </w:t>
            </w:r>
            <w:proofErr w:type="gramStart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</w:t>
            </w:r>
            <w:proofErr w:type="gramEnd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осуществляемая в ходе</w:t>
            </w:r>
          </w:p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режимных моментов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</w:tbl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>ТАБЛИЦА 2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>ПЛАНИРОВАНИЕ ВОСПИТАТЕЛЬНО - ОБРАЗОВАТЕЛЬНОГО ПРОЦЕССА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sz w:val="21"/>
          <w:szCs w:val="21"/>
          <w:lang w:eastAsia="ru-RU"/>
        </w:rPr>
        <w:t xml:space="preserve">(по О. </w:t>
      </w:r>
      <w:proofErr w:type="spellStart"/>
      <w:r w:rsidRPr="006879EF">
        <w:rPr>
          <w:rFonts w:ascii="Arial" w:eastAsia="Times New Roman" w:hAnsi="Arial" w:cs="Arial"/>
          <w:sz w:val="21"/>
          <w:szCs w:val="21"/>
          <w:lang w:eastAsia="ru-RU"/>
        </w:rPr>
        <w:t>Скоролуповой</w:t>
      </w:r>
      <w:proofErr w:type="spellEnd"/>
      <w:r w:rsidRPr="006879EF">
        <w:rPr>
          <w:rFonts w:ascii="Arial" w:eastAsia="Times New Roman" w:hAnsi="Arial" w:cs="Arial"/>
          <w:sz w:val="21"/>
          <w:szCs w:val="21"/>
          <w:lang w:eastAsia="ru-RU"/>
        </w:rPr>
        <w:t>, Н. Фединой)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033"/>
        <w:gridCol w:w="129"/>
        <w:gridCol w:w="1365"/>
        <w:gridCol w:w="1094"/>
        <w:gridCol w:w="129"/>
        <w:gridCol w:w="1599"/>
        <w:gridCol w:w="129"/>
        <w:gridCol w:w="1625"/>
        <w:gridCol w:w="1560"/>
      </w:tblGrid>
      <w:tr w:rsidR="006879EF" w:rsidRPr="006879EF" w:rsidTr="006879EF">
        <w:trPr>
          <w:jc w:val="center"/>
        </w:trPr>
        <w:tc>
          <w:tcPr>
            <w:tcW w:w="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недели/</w:t>
            </w:r>
          </w:p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</w:t>
            </w:r>
            <w:proofErr w:type="spellEnd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-тельные</w:t>
            </w:r>
            <w:proofErr w:type="gramEnd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3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Совместная деятельность взрослого и детей</w:t>
            </w:r>
          </w:p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учётом интеграции образовательных областей</w:t>
            </w:r>
          </w:p>
        </w:tc>
        <w:tc>
          <w:tcPr>
            <w:tcW w:w="15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Взаимодействие с родителями /</w:t>
            </w:r>
          </w:p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Социальными партнёрами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Непосредственно</w:t>
            </w:r>
          </w:p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57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Групповая</w:t>
            </w:r>
          </w:p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6879EF" w:rsidRPr="006879EF" w:rsidTr="006879EF">
        <w:trPr>
          <w:jc w:val="center"/>
        </w:trPr>
        <w:tc>
          <w:tcPr>
            <w:tcW w:w="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Примерная схема планирования образовательной деятельности </w:t>
      </w:r>
      <w:proofErr w:type="gramStart"/>
      <w:r w:rsidRPr="006879E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согласно тематики</w:t>
      </w:r>
      <w:proofErr w:type="gramEnd"/>
      <w:r w:rsidRPr="006879E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образовательного комплекса</w:t>
      </w:r>
    </w:p>
    <w:p w:rsidR="006879EF" w:rsidRPr="006879EF" w:rsidRDefault="006879EF" w:rsidP="006879EF">
      <w:pPr>
        <w:spacing w:before="75" w:after="75" w:line="42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879E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На 2011-2012 учебный год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38"/>
        <w:gridCol w:w="1321"/>
        <w:gridCol w:w="1321"/>
        <w:gridCol w:w="1321"/>
        <w:gridCol w:w="1677"/>
        <w:gridCol w:w="1918"/>
      </w:tblGrid>
      <w:tr w:rsidR="006879EF" w:rsidRPr="006879EF" w:rsidTr="006879EF">
        <w:trPr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Месяц 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неделя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младшая группа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младшая группа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Подготовительная группа</w:t>
            </w:r>
          </w:p>
        </w:tc>
      </w:tr>
      <w:tr w:rsidR="006879EF" w:rsidRPr="006879EF" w:rsidTr="006879EF">
        <w:trPr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Семья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Семья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сад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Наш город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Наш город. Правила </w:t>
            </w: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дорожного движения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Осень. Приметы осени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Осень. Приметы осени (осень в стихах русских поэтов, художников)</w:t>
            </w:r>
          </w:p>
        </w:tc>
      </w:tr>
      <w:tr w:rsidR="006879EF" w:rsidRPr="006879EF" w:rsidTr="006879EF">
        <w:trPr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в мире человек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и моя семья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в мире человек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в мире человек. Я вырасту здоровым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Наш город, моя страна, моя планета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Мой дом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Мой дом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Мой город. Моя страна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народного единства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народного единства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</w:tr>
      <w:tr w:rsidR="006879EF" w:rsidRPr="006879EF" w:rsidTr="006879EF">
        <w:trPr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Посуда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Посуда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Посуда. Продукты питания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Посуда. Продукты питания. Труд повара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Посуда. Продукты питания. Труд повара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Мои любимые игрушки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Мои любимые игрушки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Дикие и домашние животные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Дикие и домашние животные, их детеныши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Дикие и домашние животные. Подготовка животных к зиме</w:t>
            </w:r>
          </w:p>
        </w:tc>
      </w:tr>
      <w:tr w:rsidR="006879EF" w:rsidRPr="006879EF" w:rsidTr="006879EF">
        <w:trPr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Зимушка зима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Зимушка зима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Зимушка зима. Зимующие птицы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Зимушка зима. Зимние забавы. Зимующие птицы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Зимушка зима. Зимние забавы. Зимующие птицы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Новый год. Ёлка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Новый год. Ёлка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Новогодний праздник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Новогодний праздник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Новогодний праздник</w:t>
            </w:r>
          </w:p>
        </w:tc>
      </w:tr>
      <w:tr w:rsidR="006879EF" w:rsidRPr="006879EF" w:rsidTr="006879EF">
        <w:trPr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Дикие и домашние животные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Зима. Дикие животные (обобщение</w:t>
            </w:r>
            <w:proofErr w:type="gramStart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Зима. Дикие животные (обобщение</w:t>
            </w:r>
            <w:proofErr w:type="gramStart"/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Деревья. Дикие животные наших лесов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Хвойные деревья. Животные наших лесов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Мебель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Мебель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 и его части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Стройка. Профессии на стройке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Стройка. Профессии на стройке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</w:tr>
      <w:tr w:rsidR="006879EF" w:rsidRPr="006879EF" w:rsidTr="006879EF">
        <w:trPr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Домашние животные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Домашние животные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Комнатные растения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Комнатные растения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Комнатные растения. Зимний огород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и мой папа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защитника Отечества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Наша Армия. День защитника Отечества.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Наша Армия. День защитника Отечества.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Мое Отечество Россия</w:t>
            </w:r>
          </w:p>
        </w:tc>
      </w:tr>
      <w:tr w:rsidR="006879EF" w:rsidRPr="006879EF" w:rsidTr="006879EF">
        <w:trPr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Март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Весна. Мамин день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Весна. 8 марта – Мамин день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Весна. 8 марта – Мамин день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Весна. Международный женский день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Весна. Международный женский день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Народная игрушка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Знакомство с народной культурой и традициями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Знакомство с народной культурой и традициями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Народная культура и традиции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Народная культура и традиции</w:t>
            </w:r>
          </w:p>
        </w:tc>
      </w:tr>
      <w:tr w:rsidR="006879EF" w:rsidRPr="006879EF" w:rsidTr="006879EF">
        <w:trPr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Домашние животные и их детеныши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Наш город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Планета Земля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Планета Земля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Космос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и мое тело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Профессии. (Почтальон)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Профессии. (Почтальон, продавец)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Профессии. Животные холодных и жарких стран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Рыбки в аквариуме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Животный мир морей и океанов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Мониторинг.</w:t>
            </w:r>
          </w:p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Животный мир морей и океанов (2 половина дня)</w:t>
            </w:r>
          </w:p>
        </w:tc>
      </w:tr>
      <w:tr w:rsidR="006879EF" w:rsidRPr="006879EF" w:rsidTr="006879EF">
        <w:trPr>
          <w:jc w:val="center"/>
        </w:trPr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Цветочки в домике моем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Цветочная фантазия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Победы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Победы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 Победы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Игры с песком и водой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Насекомые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Насекомые. Цветы на лугу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Полевые и садовые цветы. Насекомые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Цветущие растения леса, сада, луга. Насекомые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Игры с водой и песком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Игры забавы с песком и водой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дорожного движения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дорожного движения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 в школу</w:t>
            </w:r>
          </w:p>
        </w:tc>
      </w:tr>
      <w:tr w:rsidR="006879EF" w:rsidRPr="006879EF" w:rsidTr="006879E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79EF" w:rsidRPr="006879EF" w:rsidRDefault="006879EF" w:rsidP="006879EF">
            <w:pPr>
              <w:spacing w:before="75" w:after="75" w:line="312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87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0" w:type="auto"/>
            <w:vAlign w:val="center"/>
            <w:hideMark/>
          </w:tcPr>
          <w:p w:rsidR="006879EF" w:rsidRPr="006879EF" w:rsidRDefault="006879EF" w:rsidP="0068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B39" w:rsidRDefault="00010B39"/>
    <w:sectPr w:rsidR="0001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808"/>
    <w:multiLevelType w:val="multilevel"/>
    <w:tmpl w:val="B29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EF"/>
    <w:rsid w:val="00010B39"/>
    <w:rsid w:val="00393828"/>
    <w:rsid w:val="006879EF"/>
    <w:rsid w:val="00A56AAF"/>
    <w:rsid w:val="00AA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79EF"/>
    <w:rPr>
      <w:i/>
      <w:iCs/>
    </w:rPr>
  </w:style>
  <w:style w:type="character" w:styleId="a4">
    <w:name w:val="Strong"/>
    <w:basedOn w:val="a0"/>
    <w:uiPriority w:val="22"/>
    <w:qFormat/>
    <w:rsid w:val="00687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79EF"/>
    <w:rPr>
      <w:i/>
      <w:iCs/>
    </w:rPr>
  </w:style>
  <w:style w:type="character" w:styleId="a4">
    <w:name w:val="Strong"/>
    <w:basedOn w:val="a0"/>
    <w:uiPriority w:val="22"/>
    <w:qFormat/>
    <w:rsid w:val="00687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2474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66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4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729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81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2910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37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2</cp:revision>
  <dcterms:created xsi:type="dcterms:W3CDTF">2012-02-20T00:44:00Z</dcterms:created>
  <dcterms:modified xsi:type="dcterms:W3CDTF">2012-02-20T05:25:00Z</dcterms:modified>
</cp:coreProperties>
</file>