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CD" w:rsidRPr="00904CF7" w:rsidRDefault="00526D7E" w:rsidP="0090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F7">
        <w:rPr>
          <w:rFonts w:ascii="Times New Roman" w:hAnsi="Times New Roman" w:cs="Times New Roman"/>
          <w:b/>
          <w:sz w:val="28"/>
          <w:szCs w:val="28"/>
        </w:rPr>
        <w:t>Рекомендации руководителю (председателю) методического объединения по самоанализу деятельности методического объединения</w:t>
      </w: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самоанализа деятельности МО;</w:t>
      </w: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результативности его работы;</w:t>
      </w: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запланировать пути совершенствования деятельности МО.</w:t>
      </w: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предусматривает анализ следующих позиций:</w:t>
      </w: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Цель, задачи, которые ставились перед МО;</w:t>
      </w:r>
    </w:p>
    <w:p w:rsidR="00526D7E" w:rsidRDefault="00526D7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Методическая тема, над которой работало МО</w:t>
      </w:r>
      <w:r w:rsidR="005F4502">
        <w:rPr>
          <w:rFonts w:ascii="Times New Roman" w:hAnsi="Times New Roman" w:cs="Times New Roman"/>
          <w:sz w:val="28"/>
          <w:szCs w:val="28"/>
        </w:rPr>
        <w:t>.</w:t>
      </w:r>
    </w:p>
    <w:p w:rsidR="005F4502" w:rsidRDefault="005F4502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проведённых заседаний МО. Тематика заседаний. Насколько вопросы заседаний позволили решать поставленные задачи.</w:t>
      </w:r>
    </w:p>
    <w:p w:rsidR="00596067" w:rsidRDefault="005F4502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6067">
        <w:rPr>
          <w:rFonts w:ascii="Times New Roman" w:hAnsi="Times New Roman" w:cs="Times New Roman"/>
          <w:sz w:val="28"/>
          <w:szCs w:val="28"/>
        </w:rPr>
        <w:t>Количество проведенных открытых уроков, их результативность.</w:t>
      </w:r>
    </w:p>
    <w:p w:rsidR="005F4502" w:rsidRDefault="00596067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BB579C">
        <w:rPr>
          <w:rFonts w:ascii="Times New Roman" w:hAnsi="Times New Roman" w:cs="Times New Roman"/>
          <w:sz w:val="28"/>
          <w:szCs w:val="28"/>
        </w:rPr>
        <w:t>Состояние преподавание предмета и качество знаний в динамике. Причины наиболее высоких и наиболее низких показателей. Пути решения.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Внеклассная работа по предмету.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Результативность предметных олимпиад.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Наиболее эффективные формы работы с кадрами в МО.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Какие инновации внедряются в работу МО.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новые учебные программы осваиваются участниками МО.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Проблемы и пути решения (в план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будет предложить участникам МО самостоятельно оценить работу своего методического объединения путём заполнения анкеты (</w:t>
      </w:r>
      <w:r w:rsidR="00063ED1">
        <w:rPr>
          <w:rFonts w:ascii="Times New Roman" w:hAnsi="Times New Roman" w:cs="Times New Roman"/>
          <w:sz w:val="28"/>
          <w:szCs w:val="28"/>
        </w:rPr>
        <w:t>см. таблицу ниже</w:t>
      </w:r>
      <w:r>
        <w:rPr>
          <w:rFonts w:ascii="Times New Roman" w:hAnsi="Times New Roman" w:cs="Times New Roman"/>
          <w:sz w:val="28"/>
          <w:szCs w:val="28"/>
        </w:rPr>
        <w:t>). Отвечая на вопросы анкеты, каждый участник МО оценивает различные мероприятия методического объединения по трём позициям:</w:t>
      </w:r>
    </w:p>
    <w:p w:rsidR="00BB579C" w:rsidRPr="00905F16" w:rsidRDefault="00BE163D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F16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BB579C" w:rsidRPr="00905F16">
        <w:rPr>
          <w:rFonts w:ascii="Times New Roman" w:hAnsi="Times New Roman" w:cs="Times New Roman"/>
          <w:sz w:val="28"/>
          <w:szCs w:val="28"/>
          <w:u w:val="single"/>
        </w:rPr>
        <w:t>Полезность проведенного мероприятия.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мероприятие оценивается по трёхбалльной системе: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очень полезно и интересно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частично полезно и интересно</w:t>
      </w:r>
    </w:p>
    <w:p w:rsidR="00BB579C" w:rsidRDefault="00BB579C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не </w:t>
      </w:r>
      <w:r w:rsidR="00BE163D">
        <w:rPr>
          <w:rFonts w:ascii="Times New Roman" w:hAnsi="Times New Roman" w:cs="Times New Roman"/>
          <w:sz w:val="28"/>
          <w:szCs w:val="28"/>
        </w:rPr>
        <w:t xml:space="preserve">полезно, но </w:t>
      </w:r>
      <w:r>
        <w:rPr>
          <w:rFonts w:ascii="Times New Roman" w:hAnsi="Times New Roman" w:cs="Times New Roman"/>
          <w:sz w:val="28"/>
          <w:szCs w:val="28"/>
        </w:rPr>
        <w:t>неинтересно</w:t>
      </w:r>
    </w:p>
    <w:p w:rsidR="00BB579C" w:rsidRDefault="00BE163D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 полезно, не интересно</w:t>
      </w:r>
    </w:p>
    <w:p w:rsidR="00BE163D" w:rsidRPr="00905F16" w:rsidRDefault="00BE163D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F16">
        <w:rPr>
          <w:rFonts w:ascii="Times New Roman" w:hAnsi="Times New Roman" w:cs="Times New Roman"/>
          <w:sz w:val="28"/>
          <w:szCs w:val="28"/>
          <w:u w:val="single"/>
        </w:rPr>
        <w:t>2. Коэффициент личного участия.</w:t>
      </w:r>
    </w:p>
    <w:p w:rsidR="00BE163D" w:rsidRDefault="00BE163D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следующим образом:</w:t>
      </w:r>
    </w:p>
    <w:p w:rsidR="00BE163D" w:rsidRDefault="00BE163D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 – активный участник</w:t>
      </w:r>
    </w:p>
    <w:p w:rsidR="00BE163D" w:rsidRDefault="00BE163D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участвовал в отдельных мероприятиях</w:t>
      </w:r>
    </w:p>
    <w:p w:rsidR="00BE163D" w:rsidRDefault="00BE163D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– присутствовал на заседаниях, но участия в работе,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принимал</w:t>
      </w:r>
    </w:p>
    <w:p w:rsidR="00BE163D" w:rsidRDefault="00BE163D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на заседаниях не присутствовал, участия в подготовке не принимал</w:t>
      </w:r>
    </w:p>
    <w:p w:rsidR="00224ECE" w:rsidRPr="00905F16" w:rsidRDefault="00224EC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5F16">
        <w:rPr>
          <w:rFonts w:ascii="Times New Roman" w:hAnsi="Times New Roman" w:cs="Times New Roman"/>
          <w:sz w:val="28"/>
          <w:szCs w:val="28"/>
          <w:u w:val="single"/>
        </w:rPr>
        <w:t>3. Предложения об улучшении деятельности МО.</w:t>
      </w:r>
    </w:p>
    <w:p w:rsidR="00224ECE" w:rsidRDefault="00224EC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могут носить как критический характер, типа «мероприятие не приносит пользу, только отнимает время педагога, предл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агается исключить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из плана работы на следующий год», так и конструктивный – «предлагается ряд мероприятий, позволяющих решить ту или иную проблему».</w:t>
      </w:r>
    </w:p>
    <w:p w:rsidR="00224ECE" w:rsidRPr="00BB579C" w:rsidRDefault="00224ECE" w:rsidP="0090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1843"/>
        <w:gridCol w:w="1666"/>
      </w:tblGrid>
      <w:tr w:rsidR="00224ECE" w:rsidRPr="00CF0032" w:rsidTr="00CF0032">
        <w:tc>
          <w:tcPr>
            <w:tcW w:w="3085" w:type="dxa"/>
          </w:tcPr>
          <w:p w:rsidR="00224ECE" w:rsidRPr="00CF0032" w:rsidRDefault="00CF0032" w:rsidP="00CF0032">
            <w:pPr>
              <w:jc w:val="center"/>
              <w:rPr>
                <w:rFonts w:ascii="Times New Roman" w:hAnsi="Times New Roman" w:cs="Times New Roman"/>
              </w:rPr>
            </w:pPr>
            <w:r w:rsidRPr="00CF00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</w:tcPr>
          <w:p w:rsidR="00224ECE" w:rsidRPr="00CF0032" w:rsidRDefault="00CF0032" w:rsidP="00CF0032">
            <w:pPr>
              <w:jc w:val="center"/>
              <w:rPr>
                <w:rFonts w:ascii="Times New Roman" w:hAnsi="Times New Roman" w:cs="Times New Roman"/>
              </w:rPr>
            </w:pPr>
            <w:r w:rsidRPr="00CF0032">
              <w:rPr>
                <w:rFonts w:ascii="Times New Roman" w:hAnsi="Times New Roman" w:cs="Times New Roman"/>
              </w:rPr>
              <w:t>Оценка полезности проведенного мероприятия</w:t>
            </w:r>
          </w:p>
        </w:tc>
        <w:tc>
          <w:tcPr>
            <w:tcW w:w="1843" w:type="dxa"/>
          </w:tcPr>
          <w:p w:rsidR="00224ECE" w:rsidRPr="00CF0032" w:rsidRDefault="00CF0032" w:rsidP="00CF0032">
            <w:pPr>
              <w:jc w:val="center"/>
              <w:rPr>
                <w:rFonts w:ascii="Times New Roman" w:hAnsi="Times New Roman" w:cs="Times New Roman"/>
              </w:rPr>
            </w:pPr>
            <w:r w:rsidRPr="00CF0032">
              <w:rPr>
                <w:rFonts w:ascii="Times New Roman" w:hAnsi="Times New Roman" w:cs="Times New Roman"/>
              </w:rPr>
              <w:t>Коэффициент личного участия</w:t>
            </w:r>
          </w:p>
        </w:tc>
        <w:tc>
          <w:tcPr>
            <w:tcW w:w="1666" w:type="dxa"/>
          </w:tcPr>
          <w:p w:rsidR="00224ECE" w:rsidRPr="00CF0032" w:rsidRDefault="00CF0032" w:rsidP="00CF0032">
            <w:pPr>
              <w:jc w:val="center"/>
              <w:rPr>
                <w:rFonts w:ascii="Times New Roman" w:hAnsi="Times New Roman" w:cs="Times New Roman"/>
              </w:rPr>
            </w:pPr>
            <w:r w:rsidRPr="00CF0032">
              <w:rPr>
                <w:rFonts w:ascii="Times New Roman" w:hAnsi="Times New Roman" w:cs="Times New Roman"/>
              </w:rPr>
              <w:t>Анализ и предложения</w:t>
            </w:r>
          </w:p>
        </w:tc>
      </w:tr>
      <w:tr w:rsidR="00224ECE" w:rsidRPr="00CF0032" w:rsidTr="00CF0032">
        <w:tc>
          <w:tcPr>
            <w:tcW w:w="3085" w:type="dxa"/>
          </w:tcPr>
          <w:p w:rsidR="00224ECE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МО</w:t>
            </w:r>
          </w:p>
        </w:tc>
        <w:tc>
          <w:tcPr>
            <w:tcW w:w="2977" w:type="dxa"/>
          </w:tcPr>
          <w:p w:rsidR="00224ECE" w:rsidRPr="00CF0032" w:rsidRDefault="00224ECE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24ECE" w:rsidRPr="00CF0032" w:rsidRDefault="00224ECE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24ECE" w:rsidRPr="00CF0032" w:rsidRDefault="00224ECE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2" w:rsidRPr="00CF0032" w:rsidTr="00CF0032">
        <w:tc>
          <w:tcPr>
            <w:tcW w:w="3085" w:type="dxa"/>
          </w:tcPr>
          <w:p w:rsid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заседаний МО</w:t>
            </w:r>
          </w:p>
        </w:tc>
        <w:tc>
          <w:tcPr>
            <w:tcW w:w="2977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2" w:rsidRPr="00CF0032" w:rsidTr="00CF0032">
        <w:tc>
          <w:tcPr>
            <w:tcW w:w="3085" w:type="dxa"/>
          </w:tcPr>
          <w:p w:rsidR="00CF0032" w:rsidRDefault="00CF0032" w:rsidP="00CF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повышению квалификации участников МО</w:t>
            </w:r>
          </w:p>
        </w:tc>
        <w:tc>
          <w:tcPr>
            <w:tcW w:w="2977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2" w:rsidRPr="00CF0032" w:rsidTr="00CF0032">
        <w:tc>
          <w:tcPr>
            <w:tcW w:w="3085" w:type="dxa"/>
          </w:tcPr>
          <w:p w:rsidR="00CF0032" w:rsidRDefault="00CF0032" w:rsidP="00CF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знаний, степени обученности по предмету</w:t>
            </w:r>
          </w:p>
        </w:tc>
        <w:tc>
          <w:tcPr>
            <w:tcW w:w="2977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2" w:rsidRPr="00CF0032" w:rsidTr="00CF0032">
        <w:tc>
          <w:tcPr>
            <w:tcW w:w="3085" w:type="dxa"/>
          </w:tcPr>
          <w:p w:rsidR="00CF0032" w:rsidRDefault="00CF0032" w:rsidP="00CF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распространение ППО</w:t>
            </w:r>
          </w:p>
        </w:tc>
        <w:tc>
          <w:tcPr>
            <w:tcW w:w="2977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2" w:rsidRPr="00CF0032" w:rsidTr="00CF0032">
        <w:tc>
          <w:tcPr>
            <w:tcW w:w="3085" w:type="dxa"/>
          </w:tcPr>
          <w:p w:rsidR="00CF0032" w:rsidRDefault="00CF0032" w:rsidP="00CF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открытых уроков</w:t>
            </w:r>
          </w:p>
        </w:tc>
        <w:tc>
          <w:tcPr>
            <w:tcW w:w="2977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2" w:rsidRPr="00CF0032" w:rsidTr="00CF0032">
        <w:tc>
          <w:tcPr>
            <w:tcW w:w="3085" w:type="dxa"/>
          </w:tcPr>
          <w:p w:rsidR="00CF0032" w:rsidRDefault="00CF0032" w:rsidP="00CF0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приглашённых специалистов</w:t>
            </w:r>
          </w:p>
        </w:tc>
        <w:tc>
          <w:tcPr>
            <w:tcW w:w="2977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032" w:rsidRPr="00CF0032" w:rsidTr="00CF0032">
        <w:tc>
          <w:tcPr>
            <w:tcW w:w="3085" w:type="dxa"/>
          </w:tcPr>
          <w:p w:rsid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2977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CF0032" w:rsidRPr="00CF0032" w:rsidRDefault="00CF0032" w:rsidP="00224E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080D" w:rsidRDefault="0076080D" w:rsidP="00760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760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что форму анализа деятельности МО руководитель выбирает самостоятельно, либо разрабатывает на основе предложенных </w:t>
      </w:r>
    </w:p>
    <w:p w:rsidR="00224ECE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предлагаем ещё один вариант оценки деятельности МО:</w:t>
      </w: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60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080D" w:rsidRDefault="0076080D" w:rsidP="0076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и уровни оценки деятельности методического объединения</w:t>
      </w:r>
    </w:p>
    <w:p w:rsidR="0076080D" w:rsidRDefault="0076080D" w:rsidP="0076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260"/>
        <w:gridCol w:w="2977"/>
        <w:gridCol w:w="2977"/>
        <w:gridCol w:w="3054"/>
      </w:tblGrid>
      <w:tr w:rsidR="0076080D" w:rsidRPr="00A42305" w:rsidTr="00A42305">
        <w:tc>
          <w:tcPr>
            <w:tcW w:w="2518" w:type="dxa"/>
            <w:vMerge w:val="restart"/>
          </w:tcPr>
          <w:p w:rsidR="0076080D" w:rsidRPr="00A42305" w:rsidRDefault="0076080D" w:rsidP="0076080D">
            <w:pPr>
              <w:jc w:val="center"/>
              <w:rPr>
                <w:rFonts w:ascii="Times New Roman" w:hAnsi="Times New Roman" w:cs="Times New Roman"/>
              </w:rPr>
            </w:pPr>
            <w:r w:rsidRPr="00A42305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2268" w:type="dxa"/>
            <w:gridSpan w:val="4"/>
          </w:tcPr>
          <w:p w:rsidR="0076080D" w:rsidRPr="00A42305" w:rsidRDefault="0076080D" w:rsidP="0076080D">
            <w:pPr>
              <w:jc w:val="center"/>
              <w:rPr>
                <w:rFonts w:ascii="Times New Roman" w:hAnsi="Times New Roman" w:cs="Times New Roman"/>
              </w:rPr>
            </w:pPr>
            <w:r w:rsidRPr="00A42305">
              <w:rPr>
                <w:rFonts w:ascii="Times New Roman" w:hAnsi="Times New Roman" w:cs="Times New Roman"/>
              </w:rPr>
              <w:t xml:space="preserve">Уровни </w:t>
            </w:r>
          </w:p>
        </w:tc>
      </w:tr>
      <w:tr w:rsidR="00A42305" w:rsidRPr="00A42305" w:rsidTr="00A42305">
        <w:tc>
          <w:tcPr>
            <w:tcW w:w="2518" w:type="dxa"/>
            <w:vMerge/>
          </w:tcPr>
          <w:p w:rsidR="00A42305" w:rsidRPr="00A42305" w:rsidRDefault="00A42305" w:rsidP="007608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42305" w:rsidRPr="00A42305" w:rsidRDefault="00A42305" w:rsidP="0076080D">
            <w:pPr>
              <w:jc w:val="center"/>
              <w:rPr>
                <w:rFonts w:ascii="Times New Roman" w:hAnsi="Times New Roman" w:cs="Times New Roman"/>
              </w:rPr>
            </w:pPr>
            <w:r w:rsidRPr="00A42305">
              <w:rPr>
                <w:rFonts w:ascii="Times New Roman" w:hAnsi="Times New Roman" w:cs="Times New Roman"/>
              </w:rPr>
              <w:t>Оптимальный (3 балла за каждый критерий, выраженный в полном объёме)</w:t>
            </w:r>
          </w:p>
        </w:tc>
        <w:tc>
          <w:tcPr>
            <w:tcW w:w="2977" w:type="dxa"/>
          </w:tcPr>
          <w:p w:rsidR="00A42305" w:rsidRPr="00A42305" w:rsidRDefault="00A42305" w:rsidP="00A42305">
            <w:pPr>
              <w:jc w:val="center"/>
              <w:rPr>
                <w:rFonts w:ascii="Times New Roman" w:hAnsi="Times New Roman" w:cs="Times New Roman"/>
              </w:rPr>
            </w:pPr>
            <w:r w:rsidRPr="00A42305">
              <w:rPr>
                <w:rFonts w:ascii="Times New Roman" w:hAnsi="Times New Roman" w:cs="Times New Roman"/>
              </w:rPr>
              <w:t>Удовлетворительный (2 балла за каждый критерий, выраженный в полном объёме)</w:t>
            </w:r>
          </w:p>
        </w:tc>
        <w:tc>
          <w:tcPr>
            <w:tcW w:w="2977" w:type="dxa"/>
          </w:tcPr>
          <w:p w:rsidR="00A42305" w:rsidRPr="00A42305" w:rsidRDefault="00A42305" w:rsidP="00A42305">
            <w:pPr>
              <w:jc w:val="center"/>
              <w:rPr>
                <w:rFonts w:ascii="Times New Roman" w:hAnsi="Times New Roman" w:cs="Times New Roman"/>
              </w:rPr>
            </w:pPr>
            <w:r w:rsidRPr="00A42305">
              <w:rPr>
                <w:rFonts w:ascii="Times New Roman" w:hAnsi="Times New Roman" w:cs="Times New Roman"/>
              </w:rPr>
              <w:t>Критический (1 балл за каждый критерий, выраженный в полном объёме)</w:t>
            </w:r>
          </w:p>
        </w:tc>
        <w:tc>
          <w:tcPr>
            <w:tcW w:w="3054" w:type="dxa"/>
          </w:tcPr>
          <w:p w:rsidR="00A42305" w:rsidRPr="00A42305" w:rsidRDefault="00A42305" w:rsidP="00A423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305">
              <w:rPr>
                <w:rFonts w:ascii="Times New Roman" w:hAnsi="Times New Roman" w:cs="Times New Roman"/>
              </w:rPr>
              <w:t>Неудовлетворительный</w:t>
            </w:r>
            <w:proofErr w:type="gramEnd"/>
            <w:r w:rsidRPr="00A42305">
              <w:rPr>
                <w:rFonts w:ascii="Times New Roman" w:hAnsi="Times New Roman" w:cs="Times New Roman"/>
              </w:rPr>
              <w:t xml:space="preserve"> (0 баллов) </w:t>
            </w:r>
          </w:p>
        </w:tc>
      </w:tr>
      <w:tr w:rsidR="00A42305" w:rsidRPr="00A42305" w:rsidTr="00A42305">
        <w:tc>
          <w:tcPr>
            <w:tcW w:w="2518" w:type="dxa"/>
          </w:tcPr>
          <w:p w:rsidR="00A42305" w:rsidRPr="00A42305" w:rsidRDefault="00A42305" w:rsidP="00A42305">
            <w:pPr>
              <w:rPr>
                <w:rFonts w:ascii="Times New Roman" w:hAnsi="Times New Roman" w:cs="Times New Roman"/>
              </w:rPr>
            </w:pPr>
            <w:r w:rsidRPr="00A42305">
              <w:rPr>
                <w:rFonts w:ascii="Times New Roman" w:hAnsi="Times New Roman" w:cs="Times New Roman"/>
              </w:rPr>
              <w:t>Повышение квалификации</w:t>
            </w:r>
            <w:r>
              <w:rPr>
                <w:rFonts w:ascii="Times New Roman" w:hAnsi="Times New Roman" w:cs="Times New Roman"/>
              </w:rPr>
              <w:t xml:space="preserve"> педагогов</w:t>
            </w:r>
          </w:p>
        </w:tc>
        <w:tc>
          <w:tcPr>
            <w:tcW w:w="3260" w:type="dxa"/>
          </w:tcPr>
          <w:p w:rsidR="00A42305" w:rsidRPr="00A42305" w:rsidRDefault="00A42305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проводится работа по повышению квалификации педагогов. Все учителя занимаются самообразованием, периодически учатся на курсах ПК.</w:t>
            </w:r>
          </w:p>
        </w:tc>
        <w:tc>
          <w:tcPr>
            <w:tcW w:w="2977" w:type="dxa"/>
          </w:tcPr>
          <w:p w:rsidR="00A42305" w:rsidRPr="00A42305" w:rsidRDefault="00A42305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 проводится работа по повышению квалификации. Все педагоги занимаются самообразованием, периодически учатся на курсах ПК.</w:t>
            </w:r>
          </w:p>
        </w:tc>
        <w:tc>
          <w:tcPr>
            <w:tcW w:w="2977" w:type="dxa"/>
          </w:tcPr>
          <w:p w:rsidR="00A42305" w:rsidRPr="00A42305" w:rsidRDefault="00A42305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повышению квалификации проводится от случая к случаю. Часть педагогов занимаются самообразованием, некоторые учатся на курсах ПК.</w:t>
            </w:r>
          </w:p>
        </w:tc>
        <w:tc>
          <w:tcPr>
            <w:tcW w:w="3054" w:type="dxa"/>
          </w:tcPr>
          <w:p w:rsidR="00A42305" w:rsidRPr="00A42305" w:rsidRDefault="00A42305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повышению квалификации не проводится. Педагоги практически не занимаются самообразованием, практически не посещают курсы ПК.</w:t>
            </w:r>
          </w:p>
        </w:tc>
      </w:tr>
      <w:tr w:rsidR="00A42305" w:rsidRPr="00A42305" w:rsidTr="00A42305">
        <w:tc>
          <w:tcPr>
            <w:tcW w:w="2518" w:type="dxa"/>
          </w:tcPr>
          <w:p w:rsidR="00A42305" w:rsidRPr="00A42305" w:rsidRDefault="00277209" w:rsidP="00277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уроков руководителем МО, организация взаимопосещения.   </w:t>
            </w:r>
          </w:p>
        </w:tc>
        <w:tc>
          <w:tcPr>
            <w:tcW w:w="3260" w:type="dxa"/>
          </w:tcPr>
          <w:p w:rsidR="00A42305" w:rsidRPr="00A42305" w:rsidRDefault="00277209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посещаются, анализируются уроки, вырабатываются рекомендации</w:t>
            </w:r>
            <w:r w:rsidR="0017136C">
              <w:rPr>
                <w:rFonts w:ascii="Times New Roman" w:hAnsi="Times New Roman" w:cs="Times New Roman"/>
              </w:rPr>
              <w:t>. У молодых учителей имеются педагоги-наставники.</w:t>
            </w:r>
          </w:p>
        </w:tc>
        <w:tc>
          <w:tcPr>
            <w:tcW w:w="2977" w:type="dxa"/>
          </w:tcPr>
          <w:p w:rsidR="00A42305" w:rsidRPr="00A42305" w:rsidRDefault="0017136C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посещаются, анализируются, вырабатываются рекомендации, но деятельность эта не носит системного характера</w:t>
            </w:r>
          </w:p>
        </w:tc>
        <w:tc>
          <w:tcPr>
            <w:tcW w:w="2977" w:type="dxa"/>
          </w:tcPr>
          <w:p w:rsidR="00A42305" w:rsidRPr="00A42305" w:rsidRDefault="0017136C" w:rsidP="0017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посещаются, анализируются только руководителем МО, взаимопосещения уроков не практикуются</w:t>
            </w:r>
          </w:p>
        </w:tc>
        <w:tc>
          <w:tcPr>
            <w:tcW w:w="3054" w:type="dxa"/>
          </w:tcPr>
          <w:p w:rsidR="00A42305" w:rsidRPr="00A42305" w:rsidRDefault="0017136C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не посещаются</w:t>
            </w:r>
          </w:p>
        </w:tc>
      </w:tr>
      <w:tr w:rsidR="00447D1A" w:rsidRPr="00A42305" w:rsidTr="00A42305">
        <w:tc>
          <w:tcPr>
            <w:tcW w:w="2518" w:type="dxa"/>
          </w:tcPr>
          <w:p w:rsidR="00447D1A" w:rsidRPr="00A42305" w:rsidRDefault="00447D1A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знаний, степень обученности учащихся по предмету</w:t>
            </w:r>
          </w:p>
        </w:tc>
        <w:tc>
          <w:tcPr>
            <w:tcW w:w="3260" w:type="dxa"/>
          </w:tcPr>
          <w:p w:rsidR="00447D1A" w:rsidRPr="00A42305" w:rsidRDefault="00447D1A" w:rsidP="00A91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знаний, степень обученности учащихся по предмету находятся на стабильном уровне</w:t>
            </w:r>
          </w:p>
        </w:tc>
        <w:tc>
          <w:tcPr>
            <w:tcW w:w="2977" w:type="dxa"/>
          </w:tcPr>
          <w:p w:rsidR="00447D1A" w:rsidRPr="00A42305" w:rsidRDefault="00447D1A" w:rsidP="0044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знаний, степень обученности учащихся по предмету </w:t>
            </w:r>
            <w:proofErr w:type="gramStart"/>
            <w:r>
              <w:rPr>
                <w:rFonts w:ascii="Times New Roman" w:hAnsi="Times New Roman" w:cs="Times New Roman"/>
              </w:rPr>
              <w:t>стабильны</w:t>
            </w:r>
            <w:proofErr w:type="gramEnd"/>
            <w:r>
              <w:rPr>
                <w:rFonts w:ascii="Times New Roman" w:hAnsi="Times New Roman" w:cs="Times New Roman"/>
              </w:rPr>
              <w:t>, но не находятся на высоком уровне</w:t>
            </w:r>
          </w:p>
        </w:tc>
        <w:tc>
          <w:tcPr>
            <w:tcW w:w="2977" w:type="dxa"/>
          </w:tcPr>
          <w:p w:rsidR="00447D1A" w:rsidRPr="00A42305" w:rsidRDefault="00447D1A" w:rsidP="0044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знаний, степень обученности учащихся по предмету </w:t>
            </w:r>
            <w:proofErr w:type="gramStart"/>
            <w:r>
              <w:rPr>
                <w:rFonts w:ascii="Times New Roman" w:hAnsi="Times New Roman" w:cs="Times New Roman"/>
              </w:rPr>
              <w:t>стабильны</w:t>
            </w:r>
            <w:proofErr w:type="gramEnd"/>
            <w:r>
              <w:rPr>
                <w:rFonts w:ascii="Times New Roman" w:hAnsi="Times New Roman" w:cs="Times New Roman"/>
              </w:rPr>
              <w:t>, но в отдельных классах снижаются</w:t>
            </w:r>
          </w:p>
        </w:tc>
        <w:tc>
          <w:tcPr>
            <w:tcW w:w="3054" w:type="dxa"/>
          </w:tcPr>
          <w:p w:rsidR="00447D1A" w:rsidRPr="00A42305" w:rsidRDefault="00447D1A" w:rsidP="00447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знаний, степень обученности учащихся по предмету снижаются или стабильно находятся на низком уровне</w:t>
            </w:r>
          </w:p>
        </w:tc>
      </w:tr>
      <w:tr w:rsidR="00447D1A" w:rsidRPr="00A42305" w:rsidTr="00A42305">
        <w:tc>
          <w:tcPr>
            <w:tcW w:w="2518" w:type="dxa"/>
          </w:tcPr>
          <w:p w:rsidR="00447D1A" w:rsidRPr="00A42305" w:rsidRDefault="001438EA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диссеминации ППО</w:t>
            </w:r>
          </w:p>
        </w:tc>
        <w:tc>
          <w:tcPr>
            <w:tcW w:w="3260" w:type="dxa"/>
          </w:tcPr>
          <w:p w:rsidR="00447D1A" w:rsidRPr="00A42305" w:rsidRDefault="001438EA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 планируется и проводится.</w:t>
            </w:r>
          </w:p>
        </w:tc>
        <w:tc>
          <w:tcPr>
            <w:tcW w:w="2977" w:type="dxa"/>
          </w:tcPr>
          <w:p w:rsidR="00447D1A" w:rsidRPr="00A42305" w:rsidRDefault="001438EA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Проводится, но не планируется</w:t>
            </w:r>
          </w:p>
        </w:tc>
        <w:tc>
          <w:tcPr>
            <w:tcW w:w="2977" w:type="dxa"/>
          </w:tcPr>
          <w:p w:rsidR="00447D1A" w:rsidRPr="00A42305" w:rsidRDefault="001438EA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от случая к случаю</w:t>
            </w:r>
          </w:p>
        </w:tc>
        <w:tc>
          <w:tcPr>
            <w:tcW w:w="3054" w:type="dxa"/>
          </w:tcPr>
          <w:p w:rsidR="00447D1A" w:rsidRPr="00A42305" w:rsidRDefault="001438EA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проводится</w:t>
            </w:r>
          </w:p>
        </w:tc>
      </w:tr>
      <w:tr w:rsidR="001438EA" w:rsidRPr="00A42305" w:rsidTr="00A42305">
        <w:tc>
          <w:tcPr>
            <w:tcW w:w="2518" w:type="dxa"/>
          </w:tcPr>
          <w:p w:rsidR="001438EA" w:rsidRDefault="001438EA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документации МО</w:t>
            </w:r>
          </w:p>
        </w:tc>
        <w:tc>
          <w:tcPr>
            <w:tcW w:w="3260" w:type="dxa"/>
          </w:tcPr>
          <w:p w:rsidR="001438EA" w:rsidRDefault="001438EA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Ведётся полностью и в соответствии с Положением о МО</w:t>
            </w:r>
          </w:p>
        </w:tc>
        <w:tc>
          <w:tcPr>
            <w:tcW w:w="2977" w:type="dxa"/>
          </w:tcPr>
          <w:p w:rsidR="001438EA" w:rsidRDefault="001438EA" w:rsidP="00BB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Ведётся </w:t>
            </w:r>
            <w:r w:rsidR="00BB4805">
              <w:rPr>
                <w:rFonts w:ascii="Times New Roman" w:hAnsi="Times New Roman" w:cs="Times New Roman"/>
              </w:rPr>
              <w:t xml:space="preserve">в основном </w:t>
            </w:r>
            <w:r>
              <w:rPr>
                <w:rFonts w:ascii="Times New Roman" w:hAnsi="Times New Roman" w:cs="Times New Roman"/>
              </w:rPr>
              <w:t>в соответствии с Положением о МО</w:t>
            </w:r>
          </w:p>
        </w:tc>
        <w:tc>
          <w:tcPr>
            <w:tcW w:w="2977" w:type="dxa"/>
          </w:tcPr>
          <w:p w:rsidR="001438EA" w:rsidRDefault="00BB4805" w:rsidP="00BB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соответствует Положению о МО</w:t>
            </w:r>
          </w:p>
        </w:tc>
        <w:tc>
          <w:tcPr>
            <w:tcW w:w="3054" w:type="dxa"/>
          </w:tcPr>
          <w:p w:rsidR="001438EA" w:rsidRDefault="00BB4805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Ведется, но не соответствует Положению о МО, либо не ведется совсем</w:t>
            </w:r>
          </w:p>
        </w:tc>
      </w:tr>
      <w:tr w:rsidR="003F337C" w:rsidRPr="00A42305" w:rsidTr="00A42305">
        <w:tc>
          <w:tcPr>
            <w:tcW w:w="2518" w:type="dxa"/>
          </w:tcPr>
          <w:p w:rsidR="003F337C" w:rsidRDefault="003F337C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заседаний МО</w:t>
            </w:r>
          </w:p>
        </w:tc>
        <w:tc>
          <w:tcPr>
            <w:tcW w:w="3260" w:type="dxa"/>
          </w:tcPr>
          <w:p w:rsidR="003F337C" w:rsidRDefault="003F337C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заседания МО проведены согласно плану работы. Выполнение решений контролируется, отслеживаются результаты деятельности участников МО</w:t>
            </w:r>
          </w:p>
        </w:tc>
        <w:tc>
          <w:tcPr>
            <w:tcW w:w="2977" w:type="dxa"/>
          </w:tcPr>
          <w:p w:rsidR="003F337C" w:rsidRDefault="003F337C" w:rsidP="00BB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все заседания МО, большинство запланированных вопросов выполнено. Выполнение решений, в основном, контролируется, </w:t>
            </w:r>
            <w:r>
              <w:rPr>
                <w:rFonts w:ascii="Times New Roman" w:hAnsi="Times New Roman" w:cs="Times New Roman"/>
              </w:rPr>
              <w:lastRenderedPageBreak/>
              <w:t>отслеживаются результаты деятельности участников МО</w:t>
            </w:r>
          </w:p>
        </w:tc>
        <w:tc>
          <w:tcPr>
            <w:tcW w:w="2977" w:type="dxa"/>
          </w:tcPr>
          <w:p w:rsidR="003F337C" w:rsidRDefault="003F337C" w:rsidP="003F3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Проведена большая часть заседаний МО, основные вопросы рассмотрены. Выполнение решений контролируется от случая к случаю, результаты </w:t>
            </w:r>
            <w:r>
              <w:rPr>
                <w:rFonts w:ascii="Times New Roman" w:hAnsi="Times New Roman" w:cs="Times New Roman"/>
              </w:rPr>
              <w:lastRenderedPageBreak/>
              <w:t>деятельности участников МО отслеживаются не регулярно</w:t>
            </w:r>
          </w:p>
        </w:tc>
        <w:tc>
          <w:tcPr>
            <w:tcW w:w="3054" w:type="dxa"/>
          </w:tcPr>
          <w:p w:rsidR="003F337C" w:rsidRDefault="003F337C" w:rsidP="003F3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Заседания МО проводятся от случая к случаю. Выполнение решений заседаний не контролируется, результаты деятельности участников МО не отслеживаются.</w:t>
            </w:r>
          </w:p>
        </w:tc>
      </w:tr>
      <w:tr w:rsidR="003F337C" w:rsidRPr="00A42305" w:rsidTr="00A42305">
        <w:tc>
          <w:tcPr>
            <w:tcW w:w="2518" w:type="dxa"/>
          </w:tcPr>
          <w:p w:rsidR="003F337C" w:rsidRDefault="00880922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Посещаемость МО</w:t>
            </w:r>
          </w:p>
        </w:tc>
        <w:tc>
          <w:tcPr>
            <w:tcW w:w="3260" w:type="dxa"/>
          </w:tcPr>
          <w:p w:rsidR="003F337C" w:rsidRDefault="00880922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МО посещают заседания и мероприятия МО, кроме отсутствующих по уважительным причинам</w:t>
            </w:r>
          </w:p>
        </w:tc>
        <w:tc>
          <w:tcPr>
            <w:tcW w:w="2977" w:type="dxa"/>
          </w:tcPr>
          <w:p w:rsidR="003F337C" w:rsidRDefault="00880922" w:rsidP="00BB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Большинство участников МО посещают заседания и мероприятия</w:t>
            </w:r>
          </w:p>
        </w:tc>
        <w:tc>
          <w:tcPr>
            <w:tcW w:w="2977" w:type="dxa"/>
          </w:tcPr>
          <w:p w:rsidR="003F337C" w:rsidRDefault="00880922" w:rsidP="003F3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Половина участников МО посещают заседания и мероприятия</w:t>
            </w:r>
          </w:p>
        </w:tc>
        <w:tc>
          <w:tcPr>
            <w:tcW w:w="3054" w:type="dxa"/>
          </w:tcPr>
          <w:p w:rsidR="003F337C" w:rsidRDefault="00880922" w:rsidP="003F3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половины участников МО посещают заседания и мероприятия</w:t>
            </w:r>
          </w:p>
        </w:tc>
      </w:tr>
      <w:tr w:rsidR="001F4405" w:rsidRPr="00A42305" w:rsidTr="00A42305">
        <w:tc>
          <w:tcPr>
            <w:tcW w:w="2518" w:type="dxa"/>
          </w:tcPr>
          <w:p w:rsidR="001F4405" w:rsidRDefault="001F4405" w:rsidP="00A4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критерии на выбор руководителя</w:t>
            </w:r>
          </w:p>
        </w:tc>
        <w:tc>
          <w:tcPr>
            <w:tcW w:w="3260" w:type="dxa"/>
          </w:tcPr>
          <w:p w:rsidR="001F4405" w:rsidRDefault="001F4405" w:rsidP="00A42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4405" w:rsidRDefault="001F4405" w:rsidP="00BB4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4405" w:rsidRDefault="001F4405" w:rsidP="003F3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1F4405" w:rsidRDefault="001F4405" w:rsidP="003F337C">
            <w:pPr>
              <w:rPr>
                <w:rFonts w:ascii="Times New Roman" w:hAnsi="Times New Roman" w:cs="Times New Roman"/>
              </w:rPr>
            </w:pPr>
          </w:p>
        </w:tc>
      </w:tr>
    </w:tbl>
    <w:p w:rsidR="0076080D" w:rsidRDefault="0076080D" w:rsidP="00760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80D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80D" w:rsidRPr="002F55F5" w:rsidRDefault="0076080D" w:rsidP="00682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080D" w:rsidRPr="002F55F5" w:rsidSect="007608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8D6"/>
    <w:multiLevelType w:val="hybridMultilevel"/>
    <w:tmpl w:val="1F7C5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2717"/>
    <w:multiLevelType w:val="hybridMultilevel"/>
    <w:tmpl w:val="53E0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0D6D"/>
    <w:multiLevelType w:val="hybridMultilevel"/>
    <w:tmpl w:val="D0FC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00"/>
    <w:rsid w:val="0004226B"/>
    <w:rsid w:val="00063ED1"/>
    <w:rsid w:val="001438EA"/>
    <w:rsid w:val="0017136C"/>
    <w:rsid w:val="001F4405"/>
    <w:rsid w:val="00224ECE"/>
    <w:rsid w:val="00277209"/>
    <w:rsid w:val="002F55F5"/>
    <w:rsid w:val="003F337C"/>
    <w:rsid w:val="00437071"/>
    <w:rsid w:val="00447D1A"/>
    <w:rsid w:val="00526D7E"/>
    <w:rsid w:val="00596067"/>
    <w:rsid w:val="005C0800"/>
    <w:rsid w:val="005C4167"/>
    <w:rsid w:val="005F4502"/>
    <w:rsid w:val="0068224A"/>
    <w:rsid w:val="006B02CD"/>
    <w:rsid w:val="0076080D"/>
    <w:rsid w:val="00801A0C"/>
    <w:rsid w:val="00880922"/>
    <w:rsid w:val="00904CF7"/>
    <w:rsid w:val="00905F16"/>
    <w:rsid w:val="00923C7F"/>
    <w:rsid w:val="009E0B60"/>
    <w:rsid w:val="009E1814"/>
    <w:rsid w:val="00A23474"/>
    <w:rsid w:val="00A42305"/>
    <w:rsid w:val="00B80FA2"/>
    <w:rsid w:val="00BB156D"/>
    <w:rsid w:val="00BB4805"/>
    <w:rsid w:val="00BB579C"/>
    <w:rsid w:val="00BE163D"/>
    <w:rsid w:val="00CB0F3B"/>
    <w:rsid w:val="00CF0032"/>
    <w:rsid w:val="00D771AF"/>
    <w:rsid w:val="00DB28C1"/>
    <w:rsid w:val="00EC2DD3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F5"/>
    <w:pPr>
      <w:ind w:left="720"/>
      <w:contextualSpacing/>
    </w:pPr>
  </w:style>
  <w:style w:type="table" w:styleId="a4">
    <w:name w:val="Table Grid"/>
    <w:basedOn w:val="a1"/>
    <w:uiPriority w:val="59"/>
    <w:rsid w:val="006B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F5"/>
    <w:pPr>
      <w:ind w:left="720"/>
      <w:contextualSpacing/>
    </w:pPr>
  </w:style>
  <w:style w:type="table" w:styleId="a4">
    <w:name w:val="Table Grid"/>
    <w:basedOn w:val="a1"/>
    <w:uiPriority w:val="59"/>
    <w:rsid w:val="006B0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234C8-18EC-4BB6-850E-0B86CEEA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Белоусова ОВ</cp:lastModifiedBy>
  <cp:revision>30</cp:revision>
  <dcterms:created xsi:type="dcterms:W3CDTF">2011-10-05T22:06:00Z</dcterms:created>
  <dcterms:modified xsi:type="dcterms:W3CDTF">2012-10-23T00:53:00Z</dcterms:modified>
</cp:coreProperties>
</file>